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rPr>
          <w:rFonts w:ascii="Times New Roman" w:hAnsi="Times New Roman" w:cs="Times New Roman"/>
          <w:b/>
          <w:bCs/>
        </w:rPr>
      </w:pPr>
      <w:r>
        <w:rPr>
          <w:rFonts w:ascii="Times New Roman" w:hAnsi="Times New Roman" w:cs="Times New Roman"/>
          <w:b/>
          <w:bCs/>
        </w:rPr>
        <w:t>3GPP TSG</w:t>
      </w:r>
      <w:r>
        <w:rPr>
          <w:rFonts w:ascii="Times New Roman" w:hAnsi="Times New Roman" w:cs="Times New Roman"/>
          <w:b/>
          <w:bCs/>
          <w:lang w:eastAsia="zh-CN"/>
        </w:rPr>
        <w:t xml:space="preserve"> </w:t>
      </w:r>
      <w:r>
        <w:rPr>
          <w:rFonts w:ascii="Times New Roman" w:hAnsi="Times New Roman" w:cs="Times New Roman"/>
          <w:b/>
          <w:bCs/>
        </w:rPr>
        <w:t>RAN WG1 #11</w:t>
      </w:r>
      <w:r>
        <w:rPr>
          <w:rFonts w:hint="eastAsia" w:ascii="Times New Roman" w:hAnsi="Times New Roman" w:cs="Times New Roman"/>
          <w:b/>
          <w:bCs/>
          <w:lang w:val="en-US" w:eastAsia="zh-CN"/>
        </w:rPr>
        <w:t>3</w:t>
      </w:r>
      <w:r>
        <w:rPr>
          <w:rFonts w:ascii="Times New Roman" w:hAnsi="Times New Roman" w:cs="Times New Roman"/>
          <w:b/>
          <w:bCs/>
        </w:rPr>
        <w:t xml:space="preserve">                                             </w:t>
      </w:r>
      <w:r>
        <w:rPr>
          <w:rFonts w:hint="eastAsia" w:ascii="Times New Roman" w:hAnsi="Times New Roman" w:cs="Times New Roman"/>
          <w:b/>
          <w:bCs/>
          <w:lang w:val="en-US" w:eastAsia="zh-CN"/>
        </w:rPr>
        <w:t xml:space="preserve">     </w:t>
      </w:r>
      <w:r>
        <w:rPr>
          <w:rFonts w:ascii="Times New Roman" w:hAnsi="Times New Roman" w:cs="Times New Roman"/>
          <w:b/>
          <w:bCs/>
        </w:rPr>
        <w:t>R1-230</w:t>
      </w:r>
      <w:r>
        <w:rPr>
          <w:rFonts w:hint="eastAsia" w:ascii="Times New Roman" w:hAnsi="Times New Roman" w:cs="Times New Roman"/>
          <w:b/>
          <w:bCs/>
          <w:lang w:val="en-US" w:eastAsia="zh-CN"/>
        </w:rPr>
        <w:t>5135</w:t>
      </w:r>
      <w:r>
        <w:rPr>
          <w:rFonts w:ascii="Times New Roman" w:hAnsi="Times New Roman" w:cs="Times New Roman"/>
          <w:b/>
          <w:bCs/>
        </w:rPr>
        <w:t xml:space="preserve">                                                                                     </w:t>
      </w:r>
    </w:p>
    <w:p>
      <w:pPr>
        <w:pStyle w:val="80"/>
        <w:jc w:val="both"/>
        <w:rPr>
          <w:rFonts w:ascii="Times New Roman" w:hAnsi="Times New Roman" w:eastAsia="宋体" w:cs="Times New Roman"/>
          <w:b/>
          <w:bCs/>
          <w:lang w:eastAsia="zh-CN"/>
        </w:rPr>
      </w:pPr>
      <w:r>
        <w:rPr>
          <w:rFonts w:hint="eastAsia" w:ascii="Times New Roman" w:hAnsi="Times New Roman" w:eastAsia="宋体" w:cs="Times New Roman"/>
          <w:b/>
          <w:bCs/>
          <w:lang w:val="en-US" w:eastAsia="zh-CN"/>
        </w:rPr>
        <w:t>Incheon</w:t>
      </w:r>
      <w:r>
        <w:rPr>
          <w:rFonts w:ascii="Times New Roman" w:hAnsi="Times New Roman" w:eastAsia="宋体" w:cs="Times New Roman"/>
          <w:b/>
          <w:bCs/>
          <w:lang w:eastAsia="zh-CN"/>
        </w:rPr>
        <w:t>，</w:t>
      </w:r>
      <w:r>
        <w:rPr>
          <w:rFonts w:hint="eastAsia" w:ascii="Times New Roman" w:hAnsi="Times New Roman" w:eastAsia="宋体" w:cs="Times New Roman"/>
          <w:b/>
          <w:bCs/>
          <w:lang w:val="en-US" w:eastAsia="zh-CN"/>
        </w:rPr>
        <w:t>Korea, May</w:t>
      </w:r>
      <w:r>
        <w:rPr>
          <w:rFonts w:ascii="Times New Roman" w:hAnsi="Times New Roman" w:eastAsia="Calibri" w:cs="Times New Roman"/>
          <w:b/>
          <w:bCs/>
        </w:rPr>
        <w:t xml:space="preserve"> </w:t>
      </w:r>
      <w:r>
        <w:rPr>
          <w:rFonts w:hint="eastAsia" w:ascii="Times New Roman" w:hAnsi="Times New Roman" w:eastAsia="宋体" w:cs="Times New Roman"/>
          <w:b/>
          <w:bCs/>
          <w:lang w:val="en-US" w:eastAsia="zh-CN"/>
        </w:rPr>
        <w:t>22nd</w:t>
      </w:r>
      <w:r>
        <w:rPr>
          <w:rFonts w:ascii="Times New Roman" w:hAnsi="Times New Roman" w:eastAsia="Calibri" w:cs="Times New Roman"/>
          <w:b/>
          <w:bCs/>
        </w:rPr>
        <w:t xml:space="preserve"> – </w:t>
      </w:r>
      <w:r>
        <w:rPr>
          <w:rFonts w:hint="eastAsia" w:ascii="Times New Roman" w:hAnsi="Times New Roman" w:eastAsia="宋体" w:cs="Times New Roman"/>
          <w:b/>
          <w:bCs/>
          <w:lang w:val="en-US" w:eastAsia="zh-CN"/>
        </w:rPr>
        <w:t>May</w:t>
      </w:r>
      <w:r>
        <w:rPr>
          <w:rFonts w:ascii="Times New Roman" w:hAnsi="Times New Roman" w:eastAsia="宋体" w:cs="Times New Roman"/>
          <w:b/>
          <w:bCs/>
          <w:lang w:eastAsia="zh-CN"/>
        </w:rPr>
        <w:t xml:space="preserve"> 26th</w:t>
      </w:r>
      <w:r>
        <w:rPr>
          <w:rFonts w:ascii="Times New Roman" w:hAnsi="Times New Roman" w:eastAsia="Calibri" w:cs="Times New Roman"/>
          <w:b/>
          <w:bCs/>
        </w:rPr>
        <w:t>, 202</w:t>
      </w:r>
      <w:r>
        <w:rPr>
          <w:rFonts w:ascii="Times New Roman" w:hAnsi="Times New Roman" w:eastAsia="宋体" w:cs="Times New Roman"/>
          <w:b/>
          <w:bCs/>
          <w:lang w:eastAsia="zh-CN"/>
        </w:rPr>
        <w:t>3</w:t>
      </w:r>
      <w:bookmarkStart w:id="0" w:name="OLE_LINK33"/>
      <w:bookmarkStart w:id="1" w:name="OLE_LINK34"/>
    </w:p>
    <w:p>
      <w:pPr>
        <w:pStyle w:val="80"/>
        <w:jc w:val="both"/>
        <w:rPr>
          <w:rFonts w:ascii="Times New Roman" w:hAnsi="Times New Roman" w:eastAsia="宋体" w:cs="Times New Roman"/>
          <w:b/>
          <w:bCs/>
          <w:lang w:eastAsia="zh-CN"/>
        </w:rPr>
      </w:pPr>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 Communication</w:t>
      </w:r>
    </w:p>
    <w:p>
      <w:pPr>
        <w:pStyle w:val="49"/>
        <w:tabs>
          <w:tab w:val="clear" w:pos="4536"/>
        </w:tabs>
        <w:jc w:val="both"/>
        <w:rPr>
          <w:rFonts w:ascii="Times New Roman" w:hAnsi="Times New Roman" w:cs="Times New Roman"/>
          <w:szCs w:val="22"/>
        </w:rPr>
      </w:pPr>
      <w:r>
        <w:rPr>
          <w:rFonts w:ascii="Times New Roman" w:hAnsi="Times New Roman" w:cs="Times New Roman"/>
          <w:szCs w:val="22"/>
        </w:rPr>
        <w:t>Title:            Discussion on XR specific capacity enhancement techniques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9.8.1</w:t>
      </w:r>
      <w:bookmarkStart w:id="5" w:name="_GoBack"/>
      <w:bookmarkEnd w:id="5"/>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 #</w:t>
      </w:r>
      <w:r>
        <w:rPr>
          <w:rFonts w:ascii="Times New Roman" w:hAnsi="Times New Roman" w:cs="Times New Roman"/>
          <w:lang w:eastAsia="zh-CN"/>
        </w:rPr>
        <w:t>98e-</w:t>
      </w:r>
      <w:r>
        <w:rPr>
          <w:rFonts w:ascii="Times New Roman" w:hAnsi="Times New Roman" w:cs="Times New Roman"/>
        </w:rPr>
        <w:t xml:space="preserve">meeting [1], </w:t>
      </w:r>
      <w:r>
        <w:rPr>
          <w:rFonts w:ascii="Times New Roman" w:hAnsi="Times New Roman" w:cs="Times New Roman"/>
          <w:lang w:eastAsia="zh-CN"/>
        </w:rPr>
        <w:t>the WID for XR capacity enhancement has been approved</w:t>
      </w:r>
      <w:r>
        <w:rPr>
          <w:rFonts w:ascii="Times New Roman" w:hAnsi="Times New Roman" w:cs="Times New Roman"/>
        </w:rPr>
        <w:t xml:space="preserve">, and </w:t>
      </w:r>
      <w:r>
        <w:rPr>
          <w:rFonts w:ascii="Times New Roman" w:hAnsi="Times New Roman" w:cs="Times New Roman"/>
          <w:lang w:eastAsia="zh-CN"/>
        </w:rPr>
        <w:t>the scopes for XR were shown in the following</w:t>
      </w:r>
      <w:r>
        <w:rPr>
          <w:rFonts w:ascii="Times New Roman" w:hAnsi="Times New Roman" w:cs="Times New Roma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overflowPunct w:val="0"/>
              <w:autoSpaceDE w:val="0"/>
              <w:autoSpaceDN w:val="0"/>
              <w:adjustRightInd w:val="0"/>
              <w:spacing w:after="180"/>
              <w:jc w:val="both"/>
              <w:rPr>
                <w:rFonts w:ascii="Times New Roman" w:hAnsi="Times New Roman" w:cs="Times New Roman"/>
              </w:rPr>
            </w:pPr>
            <w:r>
              <w:rPr>
                <w:rFonts w:ascii="Times New Roman" w:hAnsi="Times New Roman" w:eastAsia="等线" w:cs="Times New Roman"/>
                <w:lang w:eastAsia="zh-CN" w:bidi="ar"/>
              </w:rPr>
              <w:t>Specify the enhancements related to power saving:</w:t>
            </w:r>
          </w:p>
          <w:p>
            <w:pPr>
              <w:pStyle w:val="63"/>
              <w:overflowPunct w:val="0"/>
              <w:autoSpaceDE w:val="0"/>
              <w:autoSpaceDN w:val="0"/>
              <w:adjustRightInd w:val="0"/>
              <w:spacing w:before="0" w:beforeAutospacing="0" w:after="180" w:afterAutospacing="0"/>
              <w:ind w:left="568"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DRX support of XR frame rates corresponding to non-integer periodicities (through at least semi-static mechanisms e.g. RRC signalling) (RAN2).</w:t>
            </w:r>
          </w:p>
          <w:p>
            <w:pPr>
              <w:overflowPunct w:val="0"/>
              <w:autoSpaceDE w:val="0"/>
              <w:autoSpaceDN w:val="0"/>
              <w:adjustRightInd w:val="0"/>
              <w:spacing w:after="180"/>
              <w:jc w:val="both"/>
              <w:rPr>
                <w:rFonts w:ascii="Times New Roman" w:hAnsi="Times New Roman" w:cs="Times New Roman"/>
              </w:rPr>
            </w:pPr>
            <w:r>
              <w:rPr>
                <w:rFonts w:ascii="Times New Roman" w:hAnsi="Times New Roman" w:eastAsia="等线" w:cs="Times New Roman"/>
                <w:lang w:eastAsia="zh-CN" w:bidi="ar"/>
              </w:rPr>
              <w:t>Specify the enhancements related to capacity:</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Multiple CG PUSCH transmission occasions in a period of a single CG PUSCH configuration (RAN1,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Dynamic indication of unused CG PUSCH occasion(s) based on UCI by the UE (RAN1);</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BSR enhancements including at least new BS Table(s);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Delay reporting of buffered data in uplink;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Provision of XR traffic assistance information for DL and UL (e.g. periodicity); (RAN2);</w:t>
            </w:r>
          </w:p>
          <w:p>
            <w:pPr>
              <w:pStyle w:val="63"/>
              <w:overflowPunct w:val="0"/>
              <w:autoSpaceDE w:val="0"/>
              <w:autoSpaceDN w:val="0"/>
              <w:adjustRightInd w:val="0"/>
              <w:spacing w:before="0" w:beforeAutospacing="0" w:after="180" w:afterAutospacing="0"/>
              <w:ind w:left="851" w:hanging="284"/>
              <w:jc w:val="both"/>
              <w:rPr>
                <w:rFonts w:eastAsia="等线"/>
                <w:sz w:val="22"/>
                <w:szCs w:val="22"/>
                <w:lang w:val="en-US" w:eastAsia="zh-CN" w:bidi="ar"/>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Discard operation of PDU Sets (RAN2);</w:t>
            </w:r>
          </w:p>
          <w:p>
            <w:pPr>
              <w:pStyle w:val="63"/>
              <w:overflowPunct w:val="0"/>
              <w:autoSpaceDE w:val="0"/>
              <w:autoSpaceDN w:val="0"/>
              <w:adjustRightInd w:val="0"/>
              <w:spacing w:before="0" w:beforeAutospacing="0" w:after="180" w:afterAutospacing="0"/>
              <w:ind w:left="851" w:hanging="284"/>
              <w:jc w:val="both"/>
              <w:rPr>
                <w:rFonts w:eastAsia="等线"/>
                <w:sz w:val="22"/>
                <w:szCs w:val="22"/>
                <w:lang w:val="en-US" w:eastAsia="zh-CN" w:bidi="ar"/>
              </w:rPr>
            </w:pPr>
          </w:p>
          <w:p>
            <w:pPr>
              <w:pStyle w:val="63"/>
              <w:overflowPunct w:val="0"/>
              <w:autoSpaceDE w:val="0"/>
              <w:autoSpaceDN w:val="0"/>
              <w:adjustRightInd w:val="0"/>
              <w:spacing w:before="0" w:beforeAutospacing="0" w:after="180" w:afterAutospacing="0"/>
              <w:ind w:left="568" w:hanging="284"/>
              <w:jc w:val="both"/>
              <w:rPr>
                <w:sz w:val="22"/>
                <w:szCs w:val="22"/>
                <w:lang w:eastAsia="en-GB"/>
              </w:rPr>
            </w:pPr>
            <w:r>
              <w:rPr>
                <w:rFonts w:eastAsia="等线"/>
                <w:sz w:val="22"/>
                <w:szCs w:val="22"/>
                <w:lang w:val="en-US" w:eastAsia="zh-CN" w:bidi="ar"/>
              </w:rPr>
              <w:t>Specify the enhancements for XR Awareness (RAN2, RAN3): TBD (detailed objectives will be further clarified at RAN#99 based on the conclusions of TR38.835, and work to be started only after RAN#99)</w:t>
            </w:r>
          </w:p>
        </w:tc>
      </w:tr>
    </w:tbl>
    <w:p>
      <w:pPr>
        <w:rPr>
          <w:rFonts w:ascii="Times New Roman" w:hAnsi="Times New Roman" w:cs="Times New Roman"/>
          <w:szCs w:val="20"/>
          <w:highlight w:val="green"/>
          <w:lang w:eastAsia="zh-CN"/>
        </w:rPr>
      </w:pPr>
    </w:p>
    <w:p>
      <w:pPr>
        <w:rPr>
          <w:rFonts w:ascii="Times New Roman" w:hAnsi="Times New Roman" w:cs="Times New Roman"/>
          <w:szCs w:val="20"/>
          <w:lang w:eastAsia="zh-CN"/>
        </w:rPr>
      </w:pPr>
      <w:r>
        <w:rPr>
          <w:rFonts w:ascii="Times New Roman" w:hAnsi="Times New Roman" w:cs="Times New Roman"/>
          <w:szCs w:val="20"/>
          <w:lang w:eastAsia="zh-CN"/>
        </w:rPr>
        <w:t xml:space="preserve">In last RAN1 meeting [2], several issues for XR specific capacity have been discussed and the following agreements were made: </w:t>
      </w:r>
    </w:p>
    <w:p>
      <w:pPr>
        <w:rPr>
          <w:rFonts w:ascii="Times New Roman" w:hAnsi="Times New Roman" w:cs="Times New Roman"/>
          <w:lang w:eastAsia="zh-CN"/>
        </w:rPr>
      </w:pPr>
      <w:r>
        <w:rPr>
          <w:rFonts w:ascii="Times New Roman" w:hAnsi="Times New Roman" w:cs="Times New Roman"/>
          <w:highlight w:val="green"/>
          <w:lang w:eastAsia="zh-CN"/>
        </w:rPr>
        <w:t>Agreement</w:t>
      </w:r>
    </w:p>
    <w:p>
      <w:pPr>
        <w:rPr>
          <w:rFonts w:ascii="Times New Roman" w:hAnsi="Times New Roman" w:cs="Times New Roman"/>
          <w:lang w:eastAsia="ja-JP"/>
        </w:rPr>
      </w:pPr>
      <w:r>
        <w:rPr>
          <w:rFonts w:ascii="Times New Roman" w:hAnsi="Times New Roman" w:cs="Times New Roman"/>
          <w:lang w:eastAsia="ja-JP"/>
        </w:rPr>
        <w:t>For TDRA design for multi-CG PUSCH, prioritize Alt-A1, Alt-B, and Alt-C2 for further downscoping and/or modification from corresponding agreement in RAN1#112.</w:t>
      </w:r>
    </w:p>
    <w:p>
      <w:pPr>
        <w:numPr>
          <w:ilvl w:val="0"/>
          <w:numId w:val="16"/>
        </w:numPr>
        <w:spacing w:after="0"/>
        <w:rPr>
          <w:rFonts w:ascii="Times New Roman" w:hAnsi="Times New Roman" w:cs="Times New Roman"/>
          <w:lang w:eastAsia="ja-JP"/>
        </w:rPr>
      </w:pPr>
      <w:r>
        <w:rPr>
          <w:rFonts w:ascii="Times New Roman" w:hAnsi="Times New Roman" w:cs="Times New Roman"/>
          <w:lang w:eastAsia="ja-JP"/>
        </w:rPr>
        <w:t>FFS: How to address TDD configuration issue</w:t>
      </w:r>
    </w:p>
    <w:p>
      <w:pPr>
        <w:rPr>
          <w:rFonts w:ascii="Times New Roman" w:hAnsi="Times New Roman" w:cs="Times New Roman"/>
          <w:lang w:eastAsia="zh-CN"/>
        </w:rPr>
      </w:pPr>
    </w:p>
    <w:p>
      <w:pPr>
        <w:rPr>
          <w:rFonts w:ascii="Times New Roman" w:hAnsi="Times New Roman" w:cs="Times New Roman"/>
          <w:lang w:eastAsia="zh-CN"/>
        </w:rPr>
      </w:pPr>
      <w:r>
        <w:rPr>
          <w:rFonts w:ascii="Times New Roman" w:hAnsi="Times New Roman" w:cs="Times New Roman"/>
          <w:highlight w:val="green"/>
          <w:lang w:eastAsia="zh-CN"/>
        </w:rPr>
        <w:t>Agreement</w:t>
      </w:r>
    </w:p>
    <w:p>
      <w:pPr>
        <w:rPr>
          <w:rFonts w:ascii="Times New Roman" w:hAnsi="Times New Roman" w:cs="Times New Roman"/>
          <w:szCs w:val="20"/>
        </w:rPr>
      </w:pPr>
      <w:r>
        <w:rPr>
          <w:rFonts w:ascii="Times New Roman" w:hAnsi="Times New Roman" w:cs="Times New Roman"/>
          <w:szCs w:val="20"/>
          <w:lang w:eastAsia="ja-JP"/>
        </w:rPr>
        <w:t xml:space="preserve">For CG PUSCHs in a </w:t>
      </w:r>
      <w:r>
        <w:rPr>
          <w:rFonts w:ascii="Times New Roman" w:hAnsi="Times New Roman" w:cs="Times New Roman"/>
          <w:szCs w:val="20"/>
        </w:rPr>
        <w:t>multi-PUSCHs CG configuration, MCS of the CG PUSCHs in the CG configuration are the same between different PUSCH occasions.</w:t>
      </w:r>
    </w:p>
    <w:p>
      <w:pPr>
        <w:rPr>
          <w:rFonts w:ascii="Times New Roman" w:hAnsi="Times New Roman" w:cs="Times New Roman"/>
          <w:szCs w:val="20"/>
        </w:rPr>
      </w:pPr>
    </w:p>
    <w:p>
      <w:pPr>
        <w:rPr>
          <w:rFonts w:ascii="Times New Roman" w:hAnsi="Times New Roman" w:cs="Times New Roman"/>
          <w:lang w:eastAsia="zh-CN"/>
        </w:rPr>
      </w:pPr>
      <w:r>
        <w:rPr>
          <w:rFonts w:ascii="Times New Roman" w:hAnsi="Times New Roman" w:cs="Times New Roman"/>
          <w:highlight w:val="green"/>
          <w:lang w:eastAsia="zh-CN"/>
        </w:rPr>
        <w:t>Agreement</w:t>
      </w:r>
    </w:p>
    <w:p>
      <w:pPr>
        <w:rPr>
          <w:rFonts w:ascii="Times New Roman" w:hAnsi="Times New Roman" w:cs="Times New Roman"/>
          <w:szCs w:val="20"/>
        </w:rPr>
      </w:pPr>
      <w:r>
        <w:rPr>
          <w:rFonts w:ascii="Times New Roman" w:hAnsi="Times New Roman" w:cs="Times New Roman"/>
          <w:szCs w:val="20"/>
          <w:lang w:eastAsia="ja-JP"/>
        </w:rPr>
        <w:t xml:space="preserve">For CG PUSCHs in a </w:t>
      </w:r>
      <w:r>
        <w:rPr>
          <w:rFonts w:ascii="Times New Roman" w:hAnsi="Times New Roman" w:cs="Times New Roman"/>
          <w:szCs w:val="20"/>
        </w:rPr>
        <w:t>multi-PUSCHs CG configuration, FDRA of the CG PUSCHs in the CG configuration are the same between different PUSCH occasions.</w:t>
      </w:r>
    </w:p>
    <w:p>
      <w:pPr>
        <w:rPr>
          <w:rFonts w:ascii="Times New Roman" w:hAnsi="Times New Roman" w:cs="Times New Roman"/>
          <w:szCs w:val="20"/>
          <w:highlight w:val="green"/>
          <w:lang w:eastAsia="zh-CN"/>
        </w:rPr>
      </w:pPr>
      <w:r>
        <w:rPr>
          <w:rFonts w:ascii="Times New Roman" w:hAnsi="Times New Roman" w:cs="Times New Roman"/>
          <w:szCs w:val="20"/>
          <w:highlight w:val="green"/>
          <w:lang w:eastAsia="zh-CN"/>
        </w:rPr>
        <w:t>Agreement</w:t>
      </w:r>
    </w:p>
    <w:p>
      <w:pPr>
        <w:rPr>
          <w:rFonts w:ascii="Times New Roman" w:hAnsi="Times New Roman" w:eastAsia="Times New Roman" w:cs="Times New Roman"/>
          <w:szCs w:val="20"/>
        </w:rPr>
      </w:pPr>
      <w:r>
        <w:rPr>
          <w:rFonts w:ascii="Times New Roman" w:hAnsi="Times New Roman" w:eastAsia="Times New Roman" w:cs="Times New Roman"/>
          <w:szCs w:val="20"/>
        </w:rPr>
        <w:t xml:space="preserve">For dynamic indication of unused CG PUSCH transmission occasion(s) based on a UCI, the indicated “unused” CG PUSCH TO(s), if any, by the UCI in a CG PUSCH for a CG configuration </w:t>
      </w:r>
    </w:p>
    <w:p>
      <w:pPr>
        <w:numPr>
          <w:ilvl w:val="0"/>
          <w:numId w:val="17"/>
        </w:numPr>
        <w:spacing w:after="0" w:line="240" w:lineRule="auto"/>
        <w:rPr>
          <w:rFonts w:ascii="Times New Roman" w:hAnsi="Times New Roman" w:eastAsia="Times New Roman" w:cs="Times New Roman"/>
          <w:szCs w:val="20"/>
        </w:rPr>
      </w:pPr>
      <w:r>
        <w:rPr>
          <w:rFonts w:ascii="Times New Roman" w:hAnsi="Times New Roman" w:cs="Times New Roman"/>
          <w:szCs w:val="20"/>
        </w:rPr>
        <w:t>can be consecutive or non-consecutive CG PUSCH TO(s) in time domain [in one CG period]</w:t>
      </w:r>
    </w:p>
    <w:p>
      <w:pPr>
        <w:numPr>
          <w:ilvl w:val="0"/>
          <w:numId w:val="17"/>
        </w:numPr>
        <w:spacing w:after="0" w:line="240" w:lineRule="auto"/>
        <w:rPr>
          <w:rFonts w:ascii="Times New Roman" w:hAnsi="Times New Roman" w:eastAsia="Times New Roman" w:cs="Times New Roman"/>
          <w:szCs w:val="20"/>
        </w:rPr>
      </w:pPr>
      <w:r>
        <w:rPr>
          <w:rFonts w:ascii="Times New Roman" w:hAnsi="Times New Roman" w:cs="Times New Roman"/>
          <w:szCs w:val="20"/>
        </w:rPr>
        <w:t>FFS whether/how the unused TO(s) can be associated to multiple CG configuration.</w:t>
      </w:r>
    </w:p>
    <w:p>
      <w:pPr>
        <w:rPr>
          <w:rFonts w:ascii="Times New Roman" w:hAnsi="Times New Roman" w:cs="Times New Roman"/>
          <w:szCs w:val="20"/>
        </w:rPr>
      </w:pPr>
      <w:r>
        <w:rPr>
          <w:rFonts w:ascii="Times New Roman" w:hAnsi="Times New Roman" w:cs="Times New Roman"/>
          <w:szCs w:val="20"/>
        </w:rPr>
        <w:t>Note: FFSs and further details in corresponding agreement in RAN1#112 for the selected option are remained for further discussion</w:t>
      </w:r>
    </w:p>
    <w:p>
      <w:pPr>
        <w:rPr>
          <w:rFonts w:ascii="Times New Roman" w:hAnsi="Times New Roman" w:cs="Times New Roman"/>
          <w:szCs w:val="20"/>
          <w:lang w:eastAsia="zh-CN"/>
        </w:rPr>
      </w:pPr>
      <w:r>
        <w:rPr>
          <w:rFonts w:ascii="Times New Roman" w:hAnsi="Times New Roman" w:cs="Times New Roman"/>
          <w:szCs w:val="20"/>
        </w:rPr>
        <w:t>Note: Above corresponds to Option 2 (w.r.t. agreement in RAN1#112)</w:t>
      </w:r>
    </w:p>
    <w:p>
      <w:pPr>
        <w:rPr>
          <w:rFonts w:ascii="Times New Roman" w:hAnsi="Times New Roman" w:cs="Times New Roman"/>
          <w:szCs w:val="20"/>
          <w:lang w:eastAsia="zh-CN"/>
        </w:rPr>
      </w:pPr>
    </w:p>
    <w:p>
      <w:pPr>
        <w:rPr>
          <w:rFonts w:ascii="Times New Roman" w:hAnsi="Times New Roman" w:cs="Times New Roman"/>
          <w:szCs w:val="20"/>
          <w:highlight w:val="green"/>
          <w:lang w:eastAsia="zh-CN"/>
        </w:rPr>
      </w:pPr>
      <w:r>
        <w:rPr>
          <w:rFonts w:ascii="Times New Roman" w:hAnsi="Times New Roman" w:cs="Times New Roman"/>
          <w:szCs w:val="20"/>
          <w:highlight w:val="green"/>
          <w:lang w:eastAsia="zh-CN"/>
        </w:rPr>
        <w:t>Agreement</w:t>
      </w:r>
    </w:p>
    <w:p>
      <w:pPr>
        <w:numPr>
          <w:ilvl w:val="0"/>
          <w:numId w:val="18"/>
        </w:numPr>
        <w:spacing w:after="0"/>
        <w:jc w:val="both"/>
        <w:rPr>
          <w:rFonts w:ascii="Times New Roman" w:hAnsi="Times New Roman" w:cs="Times New Roman"/>
          <w:szCs w:val="20"/>
          <w:lang w:eastAsia="zh-CN"/>
        </w:rPr>
      </w:pPr>
      <w:r>
        <w:rPr>
          <w:rFonts w:ascii="Times New Roman" w:hAnsi="Times New Roman" w:cs="Times New Roman"/>
          <w:szCs w:val="20"/>
          <w:lang w:eastAsia="zh-CN"/>
        </w:rPr>
        <w:t>Option 1: For a CG PUSCH configuration, the UTO-UCI is included in every CG PUSCH that is transmitted (that is Option 1 in corresponding agreement in RAN1#112)</w:t>
      </w:r>
    </w:p>
    <w:p>
      <w:pPr>
        <w:numPr>
          <w:ilvl w:val="1"/>
          <w:numId w:val="19"/>
        </w:numPr>
        <w:spacing w:after="0"/>
        <w:jc w:val="both"/>
        <w:rPr>
          <w:rFonts w:ascii="Times New Roman" w:hAnsi="Times New Roman" w:cs="Times New Roman"/>
          <w:szCs w:val="20"/>
          <w:lang w:eastAsia="zh-CN"/>
        </w:rPr>
      </w:pPr>
      <w:r>
        <w:rPr>
          <w:rFonts w:ascii="Times New Roman" w:hAnsi="Times New Roman" w:cs="Times New Roman"/>
          <w:szCs w:val="20"/>
          <w:lang w:eastAsia="zh-CN"/>
        </w:rPr>
        <w:t>FFS details</w:t>
      </w:r>
    </w:p>
    <w:p>
      <w:pPr>
        <w:numPr>
          <w:ilvl w:val="0"/>
          <w:numId w:val="19"/>
        </w:numPr>
        <w:spacing w:after="0"/>
        <w:rPr>
          <w:rFonts w:ascii="Times New Roman" w:hAnsi="Times New Roman" w:cs="Times New Roman"/>
          <w:szCs w:val="20"/>
          <w:lang w:eastAsia="zh-CN"/>
        </w:rPr>
      </w:pPr>
      <w:r>
        <w:rPr>
          <w:rFonts w:ascii="Times New Roman" w:hAnsi="Times New Roman" w:cs="Times New Roman"/>
          <w:szCs w:val="20"/>
          <w:lang w:eastAsia="zh-CN"/>
        </w:rPr>
        <w:t>Note: The term “UTO-UCI” refers to the “UCI that provides information about unused CG PUSCH transmission occasions” for convenience.</w:t>
      </w:r>
    </w:p>
    <w:p>
      <w:pPr>
        <w:rPr>
          <w:rFonts w:ascii="Times New Roman" w:hAnsi="Times New Roman" w:cs="Times New Roman"/>
          <w:szCs w:val="20"/>
          <w:lang w:eastAsia="zh-CN"/>
        </w:rPr>
      </w:pPr>
    </w:p>
    <w:p>
      <w:pPr>
        <w:rPr>
          <w:rFonts w:ascii="Times New Roman" w:hAnsi="Times New Roman" w:cs="Times New Roman"/>
          <w:szCs w:val="20"/>
          <w:highlight w:val="green"/>
          <w:lang w:eastAsia="zh-CN"/>
        </w:rPr>
      </w:pPr>
      <w:r>
        <w:rPr>
          <w:rFonts w:ascii="Times New Roman" w:hAnsi="Times New Roman" w:cs="Times New Roman"/>
          <w:szCs w:val="20"/>
          <w:highlight w:val="green"/>
          <w:lang w:eastAsia="zh-CN"/>
        </w:rPr>
        <w:t>Agreement</w:t>
      </w:r>
    </w:p>
    <w:p>
      <w:pPr>
        <w:spacing w:line="254" w:lineRule="auto"/>
        <w:rPr>
          <w:rFonts w:ascii="Times New Roman" w:hAnsi="Times New Roman" w:cs="Times New Roman"/>
          <w:szCs w:val="20"/>
          <w:lang w:eastAsia="ja-JP"/>
        </w:rPr>
      </w:pPr>
      <w:r>
        <w:rPr>
          <w:rFonts w:ascii="Times New Roman" w:hAnsi="Times New Roman" w:cs="Times New Roman"/>
          <w:szCs w:val="20"/>
          <w:lang w:eastAsia="zh-CN"/>
        </w:rPr>
        <w:t>The UCI that provides information about unused CG PUSCH transmission occasions is defined as a “new UCI” (i.e. Alt. 1 of previous agreement).</w:t>
      </w:r>
    </w:p>
    <w:p>
      <w:pPr>
        <w:rPr>
          <w:rFonts w:ascii="Times New Roman" w:hAnsi="Times New Roman" w:cs="Times New Roman"/>
          <w:szCs w:val="20"/>
          <w:lang w:eastAsia="zh-CN"/>
        </w:rPr>
      </w:pPr>
    </w:p>
    <w:p>
      <w:pPr>
        <w:rPr>
          <w:rFonts w:ascii="Times New Roman" w:hAnsi="Times New Roman" w:cs="Times New Roman"/>
          <w:szCs w:val="20"/>
          <w:highlight w:val="green"/>
          <w:lang w:eastAsia="zh-CN"/>
        </w:rPr>
      </w:pPr>
      <w:r>
        <w:rPr>
          <w:rFonts w:ascii="Times New Roman" w:hAnsi="Times New Roman" w:cs="Times New Roman"/>
          <w:szCs w:val="20"/>
          <w:highlight w:val="green"/>
          <w:lang w:eastAsia="zh-CN"/>
        </w:rPr>
        <w:t>Agreement</w:t>
      </w:r>
    </w:p>
    <w:p>
      <w:pPr>
        <w:numPr>
          <w:ilvl w:val="0"/>
          <w:numId w:val="20"/>
        </w:numPr>
        <w:spacing w:after="0" w:line="254" w:lineRule="auto"/>
        <w:rPr>
          <w:rFonts w:ascii="Times New Roman" w:hAnsi="Times New Roman" w:cs="Times New Roman"/>
          <w:szCs w:val="20"/>
          <w:lang w:eastAsia="ja-JP"/>
        </w:rPr>
      </w:pPr>
      <w:r>
        <w:rPr>
          <w:rFonts w:ascii="Times New Roman" w:hAnsi="Times New Roman" w:cs="Times New Roman"/>
          <w:szCs w:val="20"/>
          <w:lang w:eastAsia="zh-CN"/>
        </w:rPr>
        <w:t>With respect to PHY two-level priority, for a configured grant PUSCH configuration, the “UTO-UCI” has the same priority level as the configured grant PUSCH.</w:t>
      </w:r>
    </w:p>
    <w:p>
      <w:pPr>
        <w:numPr>
          <w:ilvl w:val="0"/>
          <w:numId w:val="20"/>
        </w:numPr>
        <w:spacing w:after="0" w:line="254" w:lineRule="auto"/>
        <w:rPr>
          <w:rFonts w:ascii="Times New Roman" w:hAnsi="Times New Roman" w:cs="Times New Roman"/>
          <w:szCs w:val="20"/>
          <w:lang w:eastAsia="zh-CN"/>
        </w:rPr>
      </w:pPr>
      <w:r>
        <w:rPr>
          <w:rFonts w:ascii="Times New Roman" w:hAnsi="Times New Roman" w:cs="Times New Roman"/>
          <w:szCs w:val="20"/>
          <w:lang w:eastAsia="zh-CN"/>
        </w:rPr>
        <w:t>Note: The term “UTO-UCI” refers to the “UCI that provides information about unused CG PUSCH transmission occasions” for convenience.</w:t>
      </w:r>
    </w:p>
    <w:p>
      <w:pPr>
        <w:rPr>
          <w:rFonts w:ascii="Times New Roman" w:hAnsi="Times New Roman" w:cs="Times New Roman"/>
          <w:szCs w:val="20"/>
          <w:highlight w:val="green"/>
          <w:lang w:eastAsia="zh-CN"/>
        </w:rPr>
      </w:pPr>
      <w:r>
        <w:rPr>
          <w:rFonts w:ascii="Times New Roman" w:hAnsi="Times New Roman" w:cs="Times New Roman"/>
          <w:szCs w:val="20"/>
          <w:highlight w:val="green"/>
          <w:lang w:eastAsia="zh-CN"/>
        </w:rPr>
        <w:t>Agreement</w:t>
      </w:r>
    </w:p>
    <w:p>
      <w:pPr>
        <w:ind w:left="357" w:hanging="357"/>
        <w:rPr>
          <w:rFonts w:ascii="Times New Roman" w:hAnsi="Times New Roman" w:cs="Times New Roman"/>
          <w:szCs w:val="20"/>
        </w:rPr>
      </w:pPr>
      <w:r>
        <w:rPr>
          <w:rFonts w:ascii="Times New Roman" w:hAnsi="Times New Roman" w:cs="Times New Roman"/>
          <w:szCs w:val="20"/>
          <w:lang w:eastAsia="zh-CN"/>
        </w:rPr>
        <w:t>The existing CG-UCI encoding and multiplexing procedures are reused for encoding the “UTO-UCI” in a configured grant PUSCH in absence or presence of other UCIs being multiplexed in the PUSCH, by applying the following adjustments:</w:t>
      </w:r>
    </w:p>
    <w:p>
      <w:pPr>
        <w:numPr>
          <w:ilvl w:val="0"/>
          <w:numId w:val="20"/>
        </w:numPr>
        <w:spacing w:after="0" w:line="252" w:lineRule="auto"/>
        <w:rPr>
          <w:rFonts w:ascii="Times New Roman" w:hAnsi="Times New Roman" w:eastAsia="Times New Roman" w:cs="Times New Roman"/>
          <w:szCs w:val="20"/>
        </w:rPr>
      </w:pPr>
      <w:r>
        <w:rPr>
          <w:rFonts w:ascii="Times New Roman" w:hAnsi="Times New Roman" w:eastAsia="Times New Roman" w:cs="Times New Roman"/>
          <w:szCs w:val="20"/>
        </w:rPr>
        <w:t>The “UTO-UCI” is used instead of CG-UCI in the corresponding procedures for encoding of CG-UCI and/or HARQ-ACK, whichever is present.</w:t>
      </w:r>
    </w:p>
    <w:p>
      <w:pPr>
        <w:numPr>
          <w:ilvl w:val="0"/>
          <w:numId w:val="20"/>
        </w:numPr>
        <w:spacing w:after="0" w:line="252" w:lineRule="auto"/>
        <w:rPr>
          <w:rFonts w:ascii="Times New Roman" w:hAnsi="Times New Roman" w:eastAsia="Times New Roman" w:cs="Times New Roman"/>
          <w:szCs w:val="20"/>
        </w:rPr>
      </w:pPr>
      <w:r>
        <w:rPr>
          <w:rFonts w:ascii="Times New Roman" w:hAnsi="Times New Roman" w:eastAsia="Times New Roman" w:cs="Times New Roman"/>
          <w:szCs w:val="20"/>
        </w:rPr>
        <w:t>For determining the beta-offset,</w:t>
      </w:r>
    </w:p>
    <w:p>
      <w:pPr>
        <w:numPr>
          <w:ilvl w:val="1"/>
          <w:numId w:val="20"/>
        </w:numPr>
        <w:spacing w:after="0" w:line="252" w:lineRule="auto"/>
        <w:rPr>
          <w:rFonts w:ascii="Times New Roman" w:hAnsi="Times New Roman" w:eastAsia="Times New Roman" w:cs="Times New Roman"/>
          <w:szCs w:val="20"/>
        </w:rPr>
      </w:pPr>
      <w:r>
        <w:rPr>
          <w:rFonts w:ascii="Times New Roman" w:hAnsi="Times New Roman" w:eastAsia="Times New Roman" w:cs="Times New Roman"/>
          <w:szCs w:val="20"/>
        </w:rPr>
        <w:t>Beta offset is configured for the “UTO-UCI”</w:t>
      </w:r>
    </w:p>
    <w:p>
      <w:pPr>
        <w:numPr>
          <w:ilvl w:val="2"/>
          <w:numId w:val="20"/>
        </w:numPr>
        <w:spacing w:after="0" w:line="252" w:lineRule="auto"/>
        <w:rPr>
          <w:rFonts w:ascii="Times New Roman" w:hAnsi="Times New Roman" w:eastAsia="Times New Roman" w:cs="Times New Roman"/>
          <w:szCs w:val="20"/>
        </w:rPr>
      </w:pPr>
      <w:r>
        <w:rPr>
          <w:rFonts w:ascii="Times New Roman" w:hAnsi="Times New Roman" w:eastAsia="Times New Roman" w:cs="Times New Roman"/>
          <w:szCs w:val="20"/>
        </w:rPr>
        <w:t>If UTO-UCI and HARQ-ACK is not jointly encoded, the beta offset for the “UTO-UCI” is used in the procedures instead of CG-UCI beta offset</w:t>
      </w:r>
    </w:p>
    <w:p>
      <w:pPr>
        <w:numPr>
          <w:ilvl w:val="2"/>
          <w:numId w:val="20"/>
        </w:numPr>
        <w:spacing w:after="0" w:line="252" w:lineRule="auto"/>
        <w:rPr>
          <w:rFonts w:ascii="Times New Roman" w:hAnsi="Times New Roman" w:eastAsia="Times New Roman" w:cs="Times New Roman"/>
          <w:szCs w:val="20"/>
        </w:rPr>
      </w:pPr>
      <w:r>
        <w:rPr>
          <w:rFonts w:ascii="Times New Roman" w:hAnsi="Times New Roman" w:eastAsia="Times New Roman" w:cs="Times New Roman"/>
          <w:szCs w:val="20"/>
        </w:rPr>
        <w:t>If UTO-UCI and HARQ-ACK is jointly encoded, HARQ-ACK beta offset is used in the procedures instead of CG-UCI beta offset</w:t>
      </w:r>
    </w:p>
    <w:p>
      <w:pPr>
        <w:numPr>
          <w:ilvl w:val="0"/>
          <w:numId w:val="20"/>
        </w:numPr>
        <w:spacing w:after="0" w:line="252" w:lineRule="auto"/>
        <w:rPr>
          <w:rFonts w:ascii="Times New Roman" w:hAnsi="Times New Roman" w:eastAsia="Times New Roman" w:cs="Times New Roman"/>
          <w:szCs w:val="20"/>
        </w:rPr>
      </w:pPr>
      <w:r>
        <w:rPr>
          <w:rFonts w:ascii="Times New Roman" w:hAnsi="Times New Roman" w:eastAsia="Times New Roman" w:cs="Times New Roman"/>
          <w:szCs w:val="20"/>
        </w:rPr>
        <w:t>FFS on sequence generation order between UTO-UCI and HARQ-ACK</w:t>
      </w:r>
    </w:p>
    <w:p>
      <w:pPr>
        <w:numPr>
          <w:ilvl w:val="0"/>
          <w:numId w:val="20"/>
        </w:numPr>
        <w:spacing w:after="0" w:line="252" w:lineRule="auto"/>
        <w:rPr>
          <w:rFonts w:ascii="Times New Roman" w:hAnsi="Times New Roman" w:eastAsia="Times New Roman" w:cs="Times New Roman"/>
          <w:szCs w:val="20"/>
        </w:rPr>
      </w:pPr>
      <w:r>
        <w:rPr>
          <w:rFonts w:ascii="Times New Roman" w:hAnsi="Times New Roman" w:eastAsia="Times New Roman" w:cs="Times New Roman"/>
          <w:szCs w:val="20"/>
        </w:rPr>
        <w:t>FFS on dropping rule between UTO-UCI and HARQ-ACK when joint encoding is not configured</w:t>
      </w:r>
    </w:p>
    <w:p>
      <w:pPr>
        <w:numPr>
          <w:ilvl w:val="0"/>
          <w:numId w:val="20"/>
        </w:numPr>
        <w:spacing w:after="0" w:line="252" w:lineRule="auto"/>
        <w:rPr>
          <w:rFonts w:ascii="Times New Roman" w:hAnsi="Times New Roman" w:eastAsia="Times New Roman" w:cs="Times New Roman"/>
          <w:szCs w:val="20"/>
        </w:rPr>
      </w:pPr>
      <w:r>
        <w:rPr>
          <w:rFonts w:ascii="Times New Roman" w:hAnsi="Times New Roman" w:eastAsia="Times New Roman" w:cs="Times New Roman"/>
          <w:szCs w:val="20"/>
        </w:rPr>
        <w:t>Note: The term “UTO-UCI” refers to the “UCI that provides information about unused CG PUSCH transmission occasions” for convenience.</w:t>
      </w:r>
    </w:p>
    <w:p>
      <w:pPr>
        <w:rPr>
          <w:rFonts w:ascii="Times New Roman" w:hAnsi="Times New Roman" w:cs="Times New Roman"/>
          <w:lang w:eastAsia="zh-CN"/>
        </w:rPr>
      </w:pPr>
    </w:p>
    <w:p>
      <w:pPr>
        <w:rPr>
          <w:rFonts w:ascii="Times New Roman" w:hAnsi="Times New Roman" w:cs="Times New Roman"/>
          <w:highlight w:val="green"/>
          <w:lang w:eastAsia="zh-CN"/>
        </w:rPr>
      </w:pPr>
      <w:r>
        <w:rPr>
          <w:rFonts w:ascii="Times New Roman" w:hAnsi="Times New Roman" w:cs="Times New Roman"/>
          <w:highlight w:val="green"/>
          <w:lang w:eastAsia="zh-CN"/>
        </w:rPr>
        <w:t>Agreement</w:t>
      </w:r>
    </w:p>
    <w:p>
      <w:pPr>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pPr>
        <w:numPr>
          <w:ilvl w:val="0"/>
          <w:numId w:val="21"/>
        </w:num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 xml:space="preserve">The HARQ process ID for the first configured/valid PUSCH in a period is determined based on the legacy CG procedure when </w:t>
      </w:r>
      <w:r>
        <w:rPr>
          <w:rFonts w:ascii="Times New Roman" w:hAnsi="Times New Roman" w:eastAsia="Times New Roman" w:cs="Times New Roman"/>
          <w:i/>
          <w:szCs w:val="20"/>
        </w:rPr>
        <w:t>cg-RetransmissionTimer</w:t>
      </w:r>
      <w:r>
        <w:rPr>
          <w:rFonts w:ascii="Times New Roman" w:hAnsi="Times New Roman" w:eastAsia="Times New Roman" w:cs="Times New Roman"/>
          <w:szCs w:val="20"/>
        </w:rPr>
        <w:t xml:space="preserve"> is not configured, and applying the following formula, whichever is applicable</w:t>
      </w:r>
    </w:p>
    <w:p>
      <w:pPr>
        <w:numPr>
          <w:ilvl w:val="1"/>
          <w:numId w:val="21"/>
        </w:num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lang w:eastAsia="ko-KR"/>
        </w:rPr>
        <w:t xml:space="preserve">HARQ Process ID = [floor(X*(CURRENT_symbol – offset1) / </w:t>
      </w:r>
      <w:r>
        <w:rPr>
          <w:rFonts w:ascii="Times New Roman" w:hAnsi="Times New Roman" w:eastAsia="Times New Roman" w:cs="Times New Roman"/>
          <w:i/>
          <w:szCs w:val="20"/>
          <w:lang w:eastAsia="ko-KR"/>
        </w:rPr>
        <w:t>periodicity</w:t>
      </w:r>
      <w:r>
        <w:rPr>
          <w:rFonts w:ascii="Times New Roman" w:hAnsi="Times New Roman" w:eastAsia="Times New Roman" w:cs="Times New Roman"/>
          <w:szCs w:val="20"/>
          <w:lang w:eastAsia="ko-KR"/>
        </w:rPr>
        <w:t xml:space="preserve">) + offset2] modulo </w:t>
      </w:r>
      <w:r>
        <w:rPr>
          <w:rFonts w:ascii="Times New Roman" w:hAnsi="Times New Roman" w:eastAsia="Times New Roman" w:cs="Times New Roman"/>
          <w:i/>
          <w:szCs w:val="20"/>
          <w:lang w:eastAsia="ko-KR"/>
        </w:rPr>
        <w:t>nrofHARQ-Processes</w:t>
      </w:r>
    </w:p>
    <w:p>
      <w:pPr>
        <w:numPr>
          <w:ilvl w:val="1"/>
          <w:numId w:val="21"/>
        </w:num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lang w:eastAsia="ko-KR"/>
        </w:rPr>
        <w:t xml:space="preserve">HARQ Process ID = [floor(X*(CURRENT_symbol – offset1) / </w:t>
      </w:r>
      <w:r>
        <w:rPr>
          <w:rFonts w:ascii="Times New Roman" w:hAnsi="Times New Roman" w:eastAsia="Times New Roman" w:cs="Times New Roman"/>
          <w:i/>
          <w:szCs w:val="20"/>
          <w:lang w:eastAsia="ko-KR"/>
        </w:rPr>
        <w:t>periodicity</w:t>
      </w:r>
      <w:r>
        <w:rPr>
          <w:rFonts w:ascii="Times New Roman" w:hAnsi="Times New Roman" w:eastAsia="Times New Roman" w:cs="Times New Roman"/>
          <w:szCs w:val="20"/>
          <w:lang w:eastAsia="ko-KR"/>
        </w:rPr>
        <w:t xml:space="preserve">) + offset2] modulo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 </w:t>
      </w:r>
      <w:r>
        <w:rPr>
          <w:rFonts w:ascii="Times New Roman" w:hAnsi="Times New Roman" w:eastAsia="Times New Roman" w:cs="Times New Roman"/>
          <w:i/>
          <w:szCs w:val="20"/>
          <w:lang w:eastAsia="ko-KR"/>
        </w:rPr>
        <w:t>harq-ProcID-Offset2</w:t>
      </w:r>
    </w:p>
    <w:p>
      <w:pPr>
        <w:numPr>
          <w:ilvl w:val="2"/>
          <w:numId w:val="21"/>
        </w:numPr>
        <w:spacing w:after="0" w:line="240" w:lineRule="auto"/>
        <w:rPr>
          <w:rStyle w:val="192"/>
          <w:rFonts w:ascii="Times New Roman" w:hAnsi="Times New Roman" w:eastAsia="Times New Roman" w:cs="Times New Roman"/>
          <w:szCs w:val="20"/>
        </w:rPr>
      </w:pPr>
      <w:r>
        <w:rPr>
          <w:rFonts w:ascii="Times New Roman" w:hAnsi="Times New Roman" w:eastAsia="Times New Roman" w:cs="Times New Roman"/>
          <w:szCs w:val="20"/>
          <w:lang w:eastAsia="ko-KR"/>
        </w:rPr>
        <w:t xml:space="preserve">FFS whether in formulas above </w:t>
      </w:r>
      <w:r>
        <w:rPr>
          <w:rStyle w:val="192"/>
          <w:rFonts w:ascii="Times New Roman" w:hAnsi="Times New Roman" w:cs="Times New Roman"/>
          <w:szCs w:val="20"/>
          <w:shd w:val="clear" w:color="auto" w:fill="FFFFFF"/>
        </w:rPr>
        <w:t>X is outside or inside floor operation, i.e.</w:t>
      </w:r>
    </w:p>
    <w:p>
      <w:pPr>
        <w:numPr>
          <w:ilvl w:val="3"/>
          <w:numId w:val="21"/>
        </w:num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lang w:eastAsia="ko-KR"/>
        </w:rPr>
        <w:t xml:space="preserve">HARQ Process ID = [X*floor( (CURRENT_symbol – offset1) / </w:t>
      </w:r>
      <w:r>
        <w:rPr>
          <w:rFonts w:ascii="Times New Roman" w:hAnsi="Times New Roman" w:eastAsia="Times New Roman" w:cs="Times New Roman"/>
          <w:i/>
          <w:szCs w:val="20"/>
          <w:lang w:eastAsia="ko-KR"/>
        </w:rPr>
        <w:t>periodicity</w:t>
      </w:r>
      <w:r>
        <w:rPr>
          <w:rFonts w:ascii="Times New Roman" w:hAnsi="Times New Roman" w:eastAsia="Times New Roman" w:cs="Times New Roman"/>
          <w:szCs w:val="20"/>
          <w:lang w:eastAsia="ko-KR"/>
        </w:rPr>
        <w:t xml:space="preserve">) + offset2] modulo </w:t>
      </w:r>
      <w:r>
        <w:rPr>
          <w:rFonts w:ascii="Times New Roman" w:hAnsi="Times New Roman" w:eastAsia="Times New Roman" w:cs="Times New Roman"/>
          <w:i/>
          <w:szCs w:val="20"/>
          <w:lang w:eastAsia="ko-KR"/>
        </w:rPr>
        <w:t>nrofHARQ-Processes</w:t>
      </w:r>
    </w:p>
    <w:p>
      <w:pPr>
        <w:numPr>
          <w:ilvl w:val="3"/>
          <w:numId w:val="21"/>
        </w:num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lang w:eastAsia="ko-KR"/>
        </w:rPr>
        <w:t xml:space="preserve">HARQ Process ID = [X*floor((CURRENT_symbol – offset1) / </w:t>
      </w:r>
      <w:r>
        <w:rPr>
          <w:rFonts w:ascii="Times New Roman" w:hAnsi="Times New Roman" w:eastAsia="Times New Roman" w:cs="Times New Roman"/>
          <w:i/>
          <w:szCs w:val="20"/>
          <w:lang w:eastAsia="ko-KR"/>
        </w:rPr>
        <w:t>periodicity</w:t>
      </w:r>
      <w:r>
        <w:rPr>
          <w:rFonts w:ascii="Times New Roman" w:hAnsi="Times New Roman" w:eastAsia="Times New Roman" w:cs="Times New Roman"/>
          <w:szCs w:val="20"/>
          <w:lang w:eastAsia="ko-KR"/>
        </w:rPr>
        <w:t xml:space="preserve">) + offset2] modulo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 </w:t>
      </w:r>
      <w:r>
        <w:rPr>
          <w:rFonts w:ascii="Times New Roman" w:hAnsi="Times New Roman" w:eastAsia="Times New Roman" w:cs="Times New Roman"/>
          <w:i/>
          <w:szCs w:val="20"/>
          <w:lang w:eastAsia="ko-KR"/>
        </w:rPr>
        <w:t>harq-ProcID-Offset2</w:t>
      </w:r>
    </w:p>
    <w:p>
      <w:pPr>
        <w:numPr>
          <w:ilvl w:val="2"/>
          <w:numId w:val="21"/>
        </w:numPr>
        <w:spacing w:after="0" w:line="240" w:lineRule="auto"/>
        <w:rPr>
          <w:rFonts w:ascii="Times New Roman" w:hAnsi="Times New Roman" w:eastAsia="Times New Roman" w:cs="Times New Roman"/>
          <w:szCs w:val="20"/>
        </w:rPr>
      </w:pPr>
      <w:r>
        <w:rPr>
          <w:rFonts w:ascii="Times New Roman" w:hAnsi="Times New Roman" w:cs="Times New Roman"/>
          <w:szCs w:val="20"/>
        </w:rPr>
        <w:t>(</w:t>
      </w:r>
      <w:r>
        <w:rPr>
          <w:rFonts w:ascii="Times New Roman" w:hAnsi="Times New Roman" w:cs="Times New Roman"/>
          <w:szCs w:val="20"/>
          <w:highlight w:val="darkYellow"/>
        </w:rPr>
        <w:t>Working Assumption</w:t>
      </w:r>
      <w:r>
        <w:rPr>
          <w:rFonts w:ascii="Times New Roman" w:hAnsi="Times New Roman" w:cs="Times New Roman"/>
          <w:szCs w:val="20"/>
        </w:rPr>
        <w:t xml:space="preserve">) The HARQ process ID of the remaining configured/valid CG PUSCHs in the period is determined by incrementing the HARQ process ID of the preceding PUSCH in the period by Y with module operation with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or module operation with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 </w:t>
      </w:r>
      <w:r>
        <w:rPr>
          <w:rFonts w:ascii="Times New Roman" w:hAnsi="Times New Roman" w:eastAsia="Times New Roman" w:cs="Times New Roman"/>
          <w:i/>
          <w:szCs w:val="20"/>
          <w:lang w:eastAsia="ko-KR"/>
        </w:rPr>
        <w:t>harq-ProcID-Offset2</w:t>
      </w:r>
      <w:r>
        <w:rPr>
          <w:rFonts w:ascii="Times New Roman" w:hAnsi="Times New Roman" w:eastAsia="Times New Roman" w:cs="Times New Roman"/>
          <w:szCs w:val="20"/>
          <w:lang w:eastAsia="ko-KR"/>
        </w:rPr>
        <w:t>), whichever applicable.</w:t>
      </w:r>
    </w:p>
    <w:p>
      <w:pPr>
        <w:numPr>
          <w:ilvl w:val="3"/>
          <w:numId w:val="21"/>
        </w:numPr>
        <w:spacing w:after="0" w:line="240" w:lineRule="auto"/>
        <w:rPr>
          <w:rFonts w:ascii="Times New Roman" w:hAnsi="Times New Roman" w:eastAsia="Times New Roman" w:cs="Times New Roman"/>
          <w:szCs w:val="20"/>
        </w:rPr>
      </w:pPr>
      <w:r>
        <w:rPr>
          <w:rFonts w:ascii="Times New Roman" w:hAnsi="Times New Roman" w:cs="Times New Roman"/>
          <w:szCs w:val="20"/>
        </w:rPr>
        <w:t>FFS whether X=1 or X= the number of configured PUSCHs in the CG period</w:t>
      </w:r>
    </w:p>
    <w:p>
      <w:pPr>
        <w:numPr>
          <w:ilvl w:val="3"/>
          <w:numId w:val="21"/>
        </w:numPr>
        <w:spacing w:after="0" w:line="240" w:lineRule="auto"/>
        <w:rPr>
          <w:rFonts w:ascii="Times New Roman" w:hAnsi="Times New Roman" w:eastAsia="Times New Roman" w:cs="Times New Roman"/>
          <w:szCs w:val="20"/>
        </w:rPr>
      </w:pPr>
      <w:r>
        <w:rPr>
          <w:rFonts w:ascii="Times New Roman" w:hAnsi="Times New Roman" w:cs="Times New Roman"/>
          <w:szCs w:val="20"/>
        </w:rPr>
        <w:t>FFS whether Y =1 or a value larger than 1, e.g. Y=2.</w:t>
      </w:r>
    </w:p>
    <w:p>
      <w:pPr>
        <w:numPr>
          <w:ilvl w:val="4"/>
          <w:numId w:val="21"/>
        </w:numPr>
        <w:spacing w:after="0" w:line="240" w:lineRule="auto"/>
        <w:rPr>
          <w:rFonts w:ascii="Times New Roman" w:hAnsi="Times New Roman" w:eastAsia="Times New Roman" w:cs="Times New Roman"/>
          <w:szCs w:val="20"/>
        </w:rPr>
      </w:pPr>
      <w:r>
        <w:rPr>
          <w:rFonts w:ascii="Times New Roman" w:hAnsi="Times New Roman" w:cs="Times New Roman"/>
          <w:szCs w:val="20"/>
        </w:rPr>
        <w:t>FFS: If Y&gt;1, Y is determined based on RRC</w:t>
      </w:r>
    </w:p>
    <w:p>
      <w:pPr>
        <w:numPr>
          <w:ilvl w:val="3"/>
          <w:numId w:val="21"/>
        </w:numPr>
        <w:spacing w:after="0" w:line="240" w:lineRule="auto"/>
        <w:rPr>
          <w:rFonts w:ascii="Times New Roman" w:hAnsi="Times New Roman" w:eastAsia="Times New Roman" w:cs="Times New Roman"/>
          <w:szCs w:val="20"/>
        </w:rPr>
      </w:pPr>
      <w:r>
        <w:rPr>
          <w:rFonts w:ascii="Times New Roman" w:hAnsi="Times New Roman" w:cs="Times New Roman"/>
          <w:szCs w:val="20"/>
        </w:rPr>
        <w:t xml:space="preserve">FFS whether Offset 1= 0 or can be a non-zero value. </w:t>
      </w:r>
    </w:p>
    <w:p>
      <w:pPr>
        <w:numPr>
          <w:ilvl w:val="4"/>
          <w:numId w:val="21"/>
        </w:numPr>
        <w:spacing w:after="0" w:line="240" w:lineRule="auto"/>
        <w:rPr>
          <w:rFonts w:ascii="Times New Roman" w:hAnsi="Times New Roman" w:eastAsia="Times New Roman" w:cs="Times New Roman"/>
          <w:szCs w:val="20"/>
        </w:rPr>
      </w:pPr>
      <w:r>
        <w:rPr>
          <w:rFonts w:ascii="Times New Roman" w:hAnsi="Times New Roman" w:cs="Times New Roman"/>
          <w:szCs w:val="20"/>
        </w:rPr>
        <w:t>FFS: If offset1 is non-zero, how offset1 is determined (i.e., based on RRC)</w:t>
      </w:r>
    </w:p>
    <w:p>
      <w:pPr>
        <w:numPr>
          <w:ilvl w:val="3"/>
          <w:numId w:val="21"/>
        </w:numPr>
        <w:spacing w:after="0" w:line="240" w:lineRule="auto"/>
        <w:rPr>
          <w:rFonts w:ascii="Times New Roman" w:hAnsi="Times New Roman" w:eastAsia="Times New Roman" w:cs="Times New Roman"/>
          <w:szCs w:val="20"/>
        </w:rPr>
      </w:pPr>
      <w:r>
        <w:rPr>
          <w:rFonts w:ascii="Times New Roman" w:hAnsi="Times New Roman" w:cs="Times New Roman"/>
          <w:szCs w:val="20"/>
        </w:rPr>
        <w:t xml:space="preserve">FFS whether Offset 2= 0 or can be a non-zero value. </w:t>
      </w:r>
    </w:p>
    <w:p>
      <w:pPr>
        <w:numPr>
          <w:ilvl w:val="4"/>
          <w:numId w:val="21"/>
        </w:numPr>
        <w:spacing w:after="0" w:line="240" w:lineRule="auto"/>
        <w:rPr>
          <w:rFonts w:ascii="Times New Roman" w:hAnsi="Times New Roman" w:eastAsia="Times New Roman" w:cs="Times New Roman"/>
          <w:szCs w:val="20"/>
        </w:rPr>
      </w:pPr>
      <w:r>
        <w:rPr>
          <w:rFonts w:ascii="Times New Roman" w:hAnsi="Times New Roman" w:cs="Times New Roman"/>
          <w:szCs w:val="20"/>
        </w:rPr>
        <w:t>FFS: If offset2 is non-zero, how offset2 is determined (i.e., based on RRC or dynamically)</w:t>
      </w:r>
    </w:p>
    <w:p>
      <w:pPr>
        <w:numPr>
          <w:ilvl w:val="0"/>
          <w:numId w:val="21"/>
        </w:num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Note1: The equations will be updated accordingly when FFSs are clarified, e.g., if X=1, remove X; if Y=1, remove Y; if non-zero offset1 or Offset 2 is not supported, remove offset 1 or Offset 2.</w:t>
      </w:r>
    </w:p>
    <w:p>
      <w:pPr>
        <w:numPr>
          <w:ilvl w:val="0"/>
          <w:numId w:val="21"/>
        </w:numPr>
        <w:spacing w:after="0" w:line="240" w:lineRule="auto"/>
        <w:rPr>
          <w:rFonts w:ascii="Times New Roman" w:hAnsi="Times New Roman" w:eastAsia="Times New Roman" w:cs="Times New Roman"/>
          <w:szCs w:val="20"/>
        </w:rPr>
      </w:pPr>
      <w:r>
        <w:rPr>
          <w:rFonts w:ascii="Times New Roman" w:hAnsi="Times New Roman" w:eastAsia="Times New Roman" w:cs="Times New Roman"/>
          <w:szCs w:val="20"/>
        </w:rPr>
        <w:t xml:space="preserve">Note2: A configured CG PUSCH is invalid if the CG PUSCH is dropped due to collision with DL symbol(s) indicated by </w:t>
      </w:r>
      <w:r>
        <w:rPr>
          <w:rFonts w:ascii="Times New Roman" w:hAnsi="Times New Roman" w:eastAsia="Times New Roman" w:cs="Times New Roman"/>
          <w:i/>
          <w:szCs w:val="20"/>
        </w:rPr>
        <w:t>tdd-UL-DL-ConfigurationCommon</w:t>
      </w:r>
      <w:r>
        <w:rPr>
          <w:rFonts w:ascii="Times New Roman" w:hAnsi="Times New Roman" w:eastAsia="Times New Roman" w:cs="Times New Roman"/>
          <w:szCs w:val="20"/>
        </w:rPr>
        <w:t xml:space="preserve"> or </w:t>
      </w:r>
      <w:r>
        <w:rPr>
          <w:rFonts w:ascii="Times New Roman" w:hAnsi="Times New Roman" w:eastAsia="Times New Roman" w:cs="Times New Roman"/>
          <w:i/>
          <w:szCs w:val="20"/>
        </w:rPr>
        <w:t>tdd-UL-DL-ConfigurationDedicated</w:t>
      </w:r>
      <w:r>
        <w:rPr>
          <w:rFonts w:ascii="Times New Roman" w:hAnsi="Times New Roman" w:eastAsia="Times New Roman" w:cs="Times New Roman"/>
          <w:szCs w:val="20"/>
        </w:rPr>
        <w:t xml:space="preserve"> or SSB.</w:t>
      </w:r>
    </w:p>
    <w:p>
      <w:pPr>
        <w:rPr>
          <w:rFonts w:ascii="Times New Roman" w:hAnsi="Times New Roman" w:cs="Times New Roman"/>
          <w:szCs w:val="20"/>
          <w:lang w:eastAsia="zh-CN"/>
        </w:rPr>
      </w:pPr>
    </w:p>
    <w:p>
      <w:pPr>
        <w:rPr>
          <w:rFonts w:ascii="Times New Roman" w:hAnsi="Times New Roman" w:cs="Times New Roman"/>
          <w:highlight w:val="green"/>
          <w:lang w:eastAsia="zh-CN"/>
        </w:rPr>
      </w:pPr>
      <w:r>
        <w:rPr>
          <w:rFonts w:ascii="Times New Roman" w:hAnsi="Times New Roman" w:cs="Times New Roman"/>
          <w:highlight w:val="green"/>
          <w:lang w:eastAsia="zh-CN"/>
        </w:rPr>
        <w:t>Agreement</w:t>
      </w:r>
    </w:p>
    <w:p>
      <w:pPr>
        <w:rPr>
          <w:rFonts w:ascii="Times New Roman" w:hAnsi="Times New Roman" w:cs="Times New Roman"/>
          <w:szCs w:val="20"/>
        </w:rPr>
      </w:pPr>
      <w:r>
        <w:rPr>
          <w:rFonts w:ascii="Times New Roman" w:hAnsi="Times New Roman" w:cs="Times New Roman"/>
          <w:szCs w:val="20"/>
        </w:rPr>
        <w:t>The UTO-UCI provides a bitmap where a bit corresponds to a TO within a time duration/range. The bit indicates whether the TO is “unused”.</w:t>
      </w:r>
    </w:p>
    <w:p>
      <w:pPr>
        <w:numPr>
          <w:ilvl w:val="0"/>
          <w:numId w:val="22"/>
        </w:numPr>
        <w:spacing w:after="0" w:line="240" w:lineRule="auto"/>
        <w:rPr>
          <w:rFonts w:ascii="Times New Roman" w:hAnsi="Times New Roman" w:cs="Times New Roman"/>
          <w:lang w:eastAsia="zh-CN"/>
        </w:rPr>
      </w:pPr>
      <w:r>
        <w:rPr>
          <w:rFonts w:ascii="Times New Roman" w:hAnsi="Times New Roman" w:cs="Times New Roman"/>
          <w:szCs w:val="20"/>
        </w:rPr>
        <w:t>FFS: Details including time duration/range</w:t>
      </w:r>
    </w:p>
    <w:p>
      <w:pPr>
        <w:rPr>
          <w:rFonts w:ascii="Times New Roman" w:hAnsi="Times New Roman" w:cs="Times New Roman"/>
          <w:szCs w:val="20"/>
        </w:rPr>
      </w:pPr>
      <w:r>
        <w:rPr>
          <w:rFonts w:ascii="Times New Roman" w:hAnsi="Times New Roman" w:cs="Times New Roman"/>
          <w:szCs w:val="20"/>
        </w:rPr>
        <w:t>Note: The term “UTO-UCI” refers to the “UCI that provides information about unused CG PUSCH transmission occasions” for convenience.</w:t>
      </w:r>
    </w:p>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rPr>
        <w:t xml:space="preserve">In this contribution, we provide our views on further XR specific capacity enhancements techniques. </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30"/>
        <w:ind w:left="24"/>
        <w:rPr>
          <w:rFonts w:cs="Times New Roman"/>
          <w:color w:val="000000" w:themeColor="text1"/>
          <w:sz w:val="22"/>
          <w:lang w:eastAsia="zh-CN"/>
          <w14:textFill>
            <w14:solidFill>
              <w14:schemeClr w14:val="tx1"/>
            </w14:solidFill>
          </w14:textFill>
        </w:rPr>
      </w:pPr>
      <w:bookmarkStart w:id="2" w:name="OLE_LINK4"/>
      <w:bookmarkStart w:id="3" w:name="OLE_LINK3"/>
      <w:r>
        <w:rPr>
          <w:rFonts w:cs="Times New Roman"/>
          <w:color w:val="000000" w:themeColor="text1"/>
          <w:sz w:val="22"/>
          <w:lang w:eastAsia="zh-CN"/>
          <w14:textFill>
            <w14:solidFill>
              <w14:schemeClr w14:val="tx1"/>
            </w14:solidFill>
          </w14:textFill>
        </w:rPr>
        <w:t>Traffic characteristics of XR services were intensively studied</w:t>
      </w:r>
      <w:r>
        <w:rPr>
          <w:rFonts w:cs="Times New Roman"/>
          <w:color w:val="000000" w:themeColor="text1"/>
          <w:sz w:val="22"/>
          <w14:textFill>
            <w14:solidFill>
              <w14:schemeClr w14:val="tx1"/>
            </w14:solidFill>
          </w14:textFill>
        </w:rPr>
        <w:t xml:space="preserve"> </w:t>
      </w:r>
      <w:r>
        <w:rPr>
          <w:rFonts w:cs="Times New Roman"/>
          <w:color w:val="000000" w:themeColor="text1"/>
          <w:sz w:val="22"/>
          <w:lang w:eastAsia="zh-CN"/>
          <w14:textFill>
            <w14:solidFill>
              <w14:schemeClr w14:val="tx1"/>
            </w14:solidFill>
          </w14:textFill>
        </w:rPr>
        <w:t>in the Rel-17 RAN1 meetings, and the DL/UL traffic models for the video stream and Pose/control for XR and cloud gaming services were agreed. Based on the outcomes of the studies so far, the following characteristics [3] of the XR traffic are identified and should be considered for the potential enhancements of NR to support XR.</w:t>
      </w:r>
    </w:p>
    <w:p>
      <w:pPr>
        <w:pStyle w:val="30"/>
        <w:widowControl/>
        <w:numPr>
          <w:ilvl w:val="0"/>
          <w:numId w:val="23"/>
        </w:numPr>
        <w:spacing w:before="120" w:after="120"/>
        <w:rPr>
          <w:rFonts w:cs="Times New Roman"/>
          <w:color w:val="000000" w:themeColor="text1"/>
          <w:sz w:val="22"/>
          <w14:textFill>
            <w14:solidFill>
              <w14:schemeClr w14:val="tx1"/>
            </w14:solidFill>
          </w14:textFill>
        </w:rPr>
      </w:pPr>
      <w:r>
        <w:rPr>
          <w:rFonts w:cs="Times New Roman"/>
          <w:b/>
          <w:color w:val="000000" w:themeColor="text1"/>
          <w:sz w:val="22"/>
          <w:lang w:eastAsia="zh-CN"/>
          <w14:textFill>
            <w14:solidFill>
              <w14:schemeClr w14:val="tx1"/>
            </w14:solidFill>
          </w14:textFill>
        </w:rPr>
        <w:t>Non-integer periodicity</w:t>
      </w:r>
    </w:p>
    <w:p>
      <w:pPr>
        <w:pStyle w:val="30"/>
        <w:widowControl/>
        <w:spacing w:after="120"/>
        <w:rPr>
          <w:rFonts w:cs="Times New Roman"/>
          <w:sz w:val="22"/>
        </w:rPr>
      </w:pPr>
      <w:r>
        <w:rPr>
          <w:rFonts w:cs="Times New Roman"/>
          <w:color w:val="auto"/>
          <w:sz w:val="2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the corresponding periodicities are {33.33ms, 16.67ms, 11.11ms, 8.33ms} respectively. It’s not an integer periodic of symbol or slot. </w:t>
      </w:r>
    </w:p>
    <w:p>
      <w:pPr>
        <w:pStyle w:val="30"/>
        <w:widowControl/>
        <w:numPr>
          <w:ilvl w:val="0"/>
          <w:numId w:val="23"/>
        </w:numPr>
        <w:spacing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Jitter of packet arrival time</w:t>
      </w:r>
    </w:p>
    <w:p>
      <w:pPr>
        <w:pStyle w:val="30"/>
        <w:widowControl/>
        <w:spacing w:after="120"/>
        <w:rPr>
          <w:rFonts w:cs="Times New Roman"/>
          <w:color w:val="000000" w:themeColor="text1"/>
          <w:sz w:val="22"/>
          <w:lang w:eastAsia="zh-CN"/>
          <w14:textFill>
            <w14:solidFill>
              <w14:schemeClr w14:val="tx1"/>
            </w14:solidFill>
          </w14:textFill>
        </w:rPr>
      </w:pPr>
      <w:r>
        <w:rPr>
          <w:rFonts w:cs="Times New Roman"/>
          <w:color w:val="000000" w:themeColor="text1"/>
          <w:sz w:val="22"/>
          <w:lang w:eastAsia="zh-CN"/>
          <w14:textFill>
            <w14:solidFill>
              <w14:schemeClr w14:val="tx1"/>
            </w14:solidFill>
          </w14:textFill>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pPr>
        <w:pStyle w:val="83"/>
        <w:widowControl w:val="0"/>
        <w:numPr>
          <w:ilvl w:val="0"/>
          <w:numId w:val="23"/>
        </w:numPr>
        <w:spacing w:before="120" w:after="120" w:line="276" w:lineRule="auto"/>
        <w:jc w:val="both"/>
        <w:rPr>
          <w:rFonts w:ascii="Times New Roman" w:hAnsi="Times New Roman" w:cs="Times New Roman"/>
          <w:b/>
          <w:bCs/>
        </w:rPr>
      </w:pPr>
      <w:r>
        <w:rPr>
          <w:rFonts w:ascii="Times New Roman" w:hAnsi="Times New Roman" w:cs="Times New Roman"/>
          <w:b/>
          <w:bCs/>
        </w:rPr>
        <w:t>Low latency and large packet size</w:t>
      </w:r>
    </w:p>
    <w:p>
      <w:pPr>
        <w:tabs>
          <w:tab w:val="left" w:pos="720"/>
        </w:tabs>
        <w:spacing w:before="120" w:after="120" w:line="240" w:lineRule="auto"/>
        <w:jc w:val="both"/>
        <w:rPr>
          <w:rFonts w:ascii="Times New Roman" w:hAnsi="Times New Roman" w:cs="Times New Roman"/>
        </w:rPr>
      </w:pPr>
      <w:r>
        <w:rPr>
          <w:rFonts w:ascii="Times New Roman" w:hAnsi="Times New Roman" w:cs="Times New Roman"/>
        </w:rPr>
        <w:t xml:space="preserve">To provide good experience of XR, the latency of XR traffic should be as low as possible. As agreed in RAN1 meetings in Rel-17, air interface PDB for DL video stream is as follows.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VR/AR</w:t>
      </w:r>
    </w:p>
    <w:p>
      <w:pPr>
        <w:numPr>
          <w:ilvl w:val="1"/>
          <w:numId w:val="24"/>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10ms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CG</w:t>
      </w:r>
    </w:p>
    <w:p>
      <w:pPr>
        <w:numPr>
          <w:ilvl w:val="1"/>
          <w:numId w:val="24"/>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15ms</w:t>
      </w:r>
    </w:p>
    <w:p>
      <w:pPr>
        <w:autoSpaceDN w:val="0"/>
        <w:spacing w:after="0" w:line="240" w:lineRule="auto"/>
        <w:jc w:val="both"/>
        <w:rPr>
          <w:rFonts w:ascii="Times New Roman" w:hAnsi="Times New Roman" w:eastAsia="宋体" w:cs="Times New Roman"/>
          <w:lang w:eastAsia="zh-CN"/>
        </w:rPr>
      </w:pPr>
      <w:r>
        <w:rPr>
          <w:rFonts w:ascii="Times New Roman" w:hAnsi="Times New Roman" w:cs="Times New Roman"/>
          <w:lang w:eastAsia="sv-SE"/>
        </w:rPr>
        <w:t xml:space="preserve">According to the agreed traffic model in Rel-17, mean packet size is very large. Taking </w:t>
      </w:r>
      <w:r>
        <w:rPr>
          <w:rFonts w:ascii="Times New Roman" w:hAnsi="Times New Roman" w:cs="Times New Roman"/>
          <w:lang w:eastAsia="zh-CN"/>
        </w:rPr>
        <w:t>AR/VR 60Mbps as example, mean packet size is 125000 bytes.</w:t>
      </w:r>
      <w:r>
        <w:rPr>
          <w:rFonts w:ascii="Times New Roman" w:hAnsi="Times New Roman" w:eastAsia="宋体" w:cs="Times New Roman"/>
          <w:lang w:eastAsia="zh-CN"/>
        </w:rPr>
        <w:t xml:space="preserve"> This is very different from</w:t>
      </w:r>
      <w:r>
        <w:rPr>
          <w:rFonts w:ascii="Times New Roman" w:hAnsi="Times New Roman" w:cs="Times New Roman"/>
        </w:rPr>
        <w:t xml:space="preserve"> R-15/6 URLLC or eMBB services</w:t>
      </w:r>
      <w:r>
        <w:rPr>
          <w:rFonts w:ascii="Times New Roman" w:hAnsi="Times New Roman" w:cs="Times New Roman"/>
          <w:lang w:eastAsia="zh-CN"/>
        </w:rPr>
        <w:t>.</w:t>
      </w:r>
      <w:r>
        <w:rPr>
          <w:rFonts w:ascii="Times New Roman" w:hAnsi="Times New Roman" w:cs="Times New Roman"/>
        </w:rPr>
        <w:t xml:space="preserve"> For URLLC, one of the most challenge is latency, and for eMBB, one of the most challenge is high transmission data. However, for XR services, both high transmission rate and low latency should be satisfied.</w:t>
      </w:r>
    </w:p>
    <w:p>
      <w:pPr>
        <w:pStyle w:val="30"/>
        <w:widowControl/>
        <w:numPr>
          <w:ilvl w:val="0"/>
          <w:numId w:val="23"/>
        </w:numPr>
        <w:spacing w:before="120"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Varying packet size</w:t>
      </w:r>
    </w:p>
    <w:p>
      <w:pPr>
        <w:spacing w:before="120" w:beforeLines="50" w:after="120" w:afterLines="50"/>
        <w:jc w:val="both"/>
        <w:rPr>
          <w:rFonts w:ascii="Times New Roman" w:hAnsi="Times New Roman" w:cs="Times New Roman"/>
          <w:lang w:eastAsia="zh-CN"/>
        </w:rPr>
      </w:pPr>
      <w:r>
        <w:rPr>
          <w:rFonts w:ascii="Times New Roman" w:hAnsi="Times New Roman" w:eastAsia="宋体" w:cs="Times New Roman"/>
          <w:lang w:eastAsia="zh-CN"/>
        </w:rPr>
        <w:t xml:space="preserve">In Rel-17 RAN1 meeting, </w:t>
      </w:r>
      <w:r>
        <w:rPr>
          <w:rFonts w:ascii="Times New Roman" w:hAnsi="Times New Roman" w:cs="Times New Roman"/>
          <w:lang w:eastAsia="ja-JP"/>
        </w:rPr>
        <w:t xml:space="preserve">parameters of Truncated Gaussian distribution for packet size of DL video stream in case of single stream evaluation has been agreed and is shown below. We can observed that the packet size of XR is not fixed. </w:t>
      </w:r>
    </w:p>
    <w:p>
      <w:pPr>
        <w:pStyle w:val="83"/>
        <w:numPr>
          <w:ilvl w:val="0"/>
          <w:numId w:val="25"/>
        </w:numPr>
        <w:overflowPunct w:val="0"/>
        <w:autoSpaceDE w:val="0"/>
        <w:autoSpaceDN w:val="0"/>
        <w:adjustRightInd w:val="0"/>
        <w:spacing w:before="120" w:beforeLines="50" w:after="120" w:afterLines="50" w:line="240" w:lineRule="auto"/>
        <w:jc w:val="both"/>
        <w:textAlignment w:val="baseline"/>
        <w:rPr>
          <w:rFonts w:ascii="Times New Roman" w:hAnsi="Times New Roman" w:cs="Times New Roman"/>
          <w:lang w:eastAsia="zh-CN"/>
        </w:rPr>
      </w:pPr>
      <w:r>
        <w:rPr>
          <w:rFonts w:ascii="Times New Roman" w:hAnsi="Times New Roman" w:cs="Times New Roman"/>
          <w:lang w:eastAsia="zh-CN"/>
        </w:rPr>
        <w:t>[STD, Max, Min]: [10.5, 150, 50]% of Mean packet size</w:t>
      </w:r>
    </w:p>
    <w:p>
      <w:pPr>
        <w:pStyle w:val="83"/>
        <w:numPr>
          <w:ilvl w:val="0"/>
          <w:numId w:val="23"/>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Multiple flows</w:t>
      </w:r>
    </w:p>
    <w:p>
      <w:pPr>
        <w:spacing w:before="120" w:beforeLines="50" w:after="120" w:afterLines="50"/>
        <w:jc w:val="both"/>
        <w:rPr>
          <w:rFonts w:ascii="Times New Roman" w:hAnsi="Times New Roman" w:cs="Times New Roman"/>
        </w:rPr>
      </w:pPr>
      <w:r>
        <w:rPr>
          <w:rFonts w:ascii="Times New Roman" w:hAnsi="Times New Roman" w:cs="Times New Roman"/>
        </w:rPr>
        <w:t xml:space="preserve">For an XR application, there might be multiple data streams. Multiple streams may have different traffic characteristics, requirements and priorities. </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26"/>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26"/>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bookmarkEnd w:id="2"/>
    <w:bookmarkEnd w:id="3"/>
    <w:p>
      <w:pPr>
        <w:pStyle w:val="4"/>
        <w:rPr>
          <w:sz w:val="22"/>
          <w:szCs w:val="22"/>
        </w:rPr>
      </w:pPr>
      <w:r>
        <w:rPr>
          <w:sz w:val="22"/>
          <w:szCs w:val="22"/>
        </w:rPr>
        <w:t>CG enhancements for XR</w:t>
      </w:r>
    </w:p>
    <w:p>
      <w:pPr>
        <w:pStyle w:val="83"/>
        <w:numPr>
          <w:ilvl w:val="0"/>
          <w:numId w:val="27"/>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Time resource for multiple TOs configured within a CG</w:t>
      </w:r>
    </w:p>
    <w:p>
      <w:pPr>
        <w:pStyle w:val="63"/>
        <w:autoSpaceDE w:val="0"/>
        <w:autoSpaceDN w:val="0"/>
        <w:adjustRightInd w:val="0"/>
        <w:snapToGrid w:val="0"/>
        <w:spacing w:before="72" w:beforeLines="30" w:beforeAutospacing="0" w:after="0" w:afterAutospacing="0" w:line="60" w:lineRule="atLeast"/>
        <w:jc w:val="both"/>
        <w:rPr>
          <w:sz w:val="22"/>
          <w:szCs w:val="22"/>
          <w:lang w:eastAsia="ja-JP"/>
        </w:rPr>
      </w:pPr>
      <w:r>
        <w:rPr>
          <w:rFonts w:eastAsiaTheme="minorEastAsia"/>
          <w:sz w:val="22"/>
          <w:szCs w:val="22"/>
          <w:lang w:eastAsia="zh-CN"/>
        </w:rPr>
        <w:t>The followi</w:t>
      </w:r>
      <w:r>
        <w:rPr>
          <w:sz w:val="22"/>
          <w:szCs w:val="22"/>
          <w:lang w:eastAsia="ja-JP"/>
        </w:rPr>
        <w:t xml:space="preserve">ng alternatives were agreed in RAN1 #112bis to </w:t>
      </w:r>
      <w:bookmarkStart w:id="4" w:name="_Hlk130904831"/>
      <w:r>
        <w:rPr>
          <w:sz w:val="22"/>
          <w:szCs w:val="22"/>
          <w:lang w:eastAsia="ja-JP"/>
        </w:rPr>
        <w:t>determine the time domain resource allocation of CG PUSCHs within one multi-PUSCHs CG period</w:t>
      </w:r>
      <w:bookmarkEnd w:id="4"/>
      <w:r>
        <w:rPr>
          <w:sz w:val="22"/>
          <w:szCs w:val="22"/>
          <w:lang w:eastAsia="ja-JP"/>
        </w:rPr>
        <w:t>:</w:t>
      </w:r>
    </w:p>
    <w:p>
      <w:pPr>
        <w:numPr>
          <w:ilvl w:val="1"/>
          <w:numId w:val="28"/>
        </w:numPr>
        <w:spacing w:after="0" w:line="256" w:lineRule="auto"/>
        <w:rPr>
          <w:rFonts w:ascii="Times New Roman" w:hAnsi="Times New Roman" w:cs="Times New Roman"/>
          <w:lang w:eastAsia="ja-JP"/>
        </w:rPr>
      </w:pPr>
      <w:r>
        <w:rPr>
          <w:rFonts w:ascii="Times New Roman" w:hAnsi="Times New Roman" w:cs="Times New Roman"/>
          <w:lang w:eastAsia="ja-JP"/>
        </w:rPr>
        <w:t>Alt-A1: Follow the time domain resource mapping of Type A repetition</w:t>
      </w:r>
    </w:p>
    <w:p>
      <w:pPr>
        <w:numPr>
          <w:ilvl w:val="2"/>
          <w:numId w:val="28"/>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pPr>
        <w:numPr>
          <w:ilvl w:val="2"/>
          <w:numId w:val="28"/>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pPr>
        <w:numPr>
          <w:ilvl w:val="2"/>
          <w:numId w:val="28"/>
        </w:numPr>
        <w:spacing w:after="0" w:line="256" w:lineRule="auto"/>
        <w:rPr>
          <w:rFonts w:ascii="Times New Roman" w:hAnsi="Times New Roman" w:cs="Times New Roman"/>
          <w:lang w:eastAsia="ja-JP"/>
        </w:rPr>
      </w:pPr>
      <w:r>
        <w:rPr>
          <w:rFonts w:ascii="Times New Roman" w:hAnsi="Times New Roman" w:cs="Times New Roman"/>
          <w:lang w:eastAsia="ja-JP"/>
        </w:rPr>
        <w:t>The same SLIV in N PUSCH in consecutive slots per CG period</w:t>
      </w:r>
    </w:p>
    <w:p>
      <w:pPr>
        <w:numPr>
          <w:ilvl w:val="1"/>
          <w:numId w:val="28"/>
        </w:numPr>
        <w:tabs>
          <w:tab w:val="left" w:pos="576"/>
        </w:tabs>
        <w:spacing w:after="0" w:line="256" w:lineRule="auto"/>
        <w:rPr>
          <w:rFonts w:ascii="Times New Roman" w:hAnsi="Times New Roman" w:cs="Times New Roman"/>
          <w:lang w:eastAsia="ja-JP"/>
        </w:rPr>
      </w:pPr>
      <w:r>
        <w:rPr>
          <w:rFonts w:ascii="Times New Roman" w:hAnsi="Times New Roman" w:cs="Times New Roman"/>
          <w:lang w:eastAsia="ja-JP"/>
        </w:rPr>
        <w:t>Alt B: TDRA determination based on NR-U framework</w:t>
      </w:r>
    </w:p>
    <w:p>
      <w:pPr>
        <w:numPr>
          <w:ilvl w:val="2"/>
          <w:numId w:val="28"/>
        </w:numPr>
        <w:spacing w:after="0" w:line="256" w:lineRule="auto"/>
        <w:rPr>
          <w:rFonts w:ascii="Times New Roman" w:hAnsi="Times New Roman" w:cs="Times New Roman"/>
          <w:lang w:eastAsia="ja-JP"/>
        </w:rPr>
      </w:pPr>
      <w:r>
        <w:rPr>
          <w:rFonts w:ascii="Times New Roman" w:hAnsi="Times New Roman" w:cs="Times New Roman"/>
          <w:lang w:eastAsia="ja-JP"/>
        </w:rPr>
        <w:t>N and M configured by higher layers</w:t>
      </w:r>
    </w:p>
    <w:p>
      <w:pPr>
        <w:numPr>
          <w:ilvl w:val="2"/>
          <w:numId w:val="28"/>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pPr>
        <w:numPr>
          <w:ilvl w:val="3"/>
          <w:numId w:val="28"/>
        </w:numPr>
        <w:spacing w:after="0" w:line="256" w:lineRule="auto"/>
        <w:rPr>
          <w:rFonts w:ascii="Times New Roman" w:hAnsi="Times New Roman" w:cs="Times New Roman"/>
          <w:lang w:eastAsia="ja-JP"/>
        </w:rPr>
      </w:pPr>
      <w:r>
        <w:rPr>
          <w:rFonts w:ascii="Times New Roman" w:hAnsi="Times New Roman" w:cs="Times New Roman"/>
          <w:lang w:eastAsia="ja-JP"/>
        </w:rPr>
        <w:t>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pPr>
        <w:numPr>
          <w:ilvl w:val="2"/>
          <w:numId w:val="28"/>
        </w:numPr>
        <w:spacing w:after="0" w:line="256" w:lineRule="auto"/>
        <w:rPr>
          <w:rFonts w:ascii="Times New Roman" w:hAnsi="Times New Roman" w:cs="Times New Roman"/>
          <w:lang w:eastAsia="ja-JP"/>
        </w:rPr>
      </w:pPr>
      <w:r>
        <w:rPr>
          <w:rFonts w:ascii="Times New Roman" w:hAnsi="Times New Roman" w:cs="Times New Roman"/>
          <w:lang w:eastAsia="ja-JP"/>
        </w:rPr>
        <w:t>M consecutive PUSCH TOs with same duration in slot. The M PUSCH TOs are used in N consecutive slots per CG period</w:t>
      </w:r>
    </w:p>
    <w:p>
      <w:pPr>
        <w:numPr>
          <w:ilvl w:val="1"/>
          <w:numId w:val="28"/>
        </w:numPr>
        <w:spacing w:after="0" w:line="256" w:lineRule="auto"/>
        <w:rPr>
          <w:rFonts w:ascii="Times New Roman" w:hAnsi="Times New Roman" w:cs="Times New Roman"/>
          <w:lang w:eastAsia="ja-JP"/>
        </w:rPr>
      </w:pPr>
      <w:r>
        <w:rPr>
          <w:rFonts w:ascii="Times New Roman" w:hAnsi="Times New Roman" w:cs="Times New Roman"/>
          <w:lang w:eastAsia="ja-JP"/>
        </w:rPr>
        <w:t>Alt C2: Follow Rel-17 single DCI scheduling multiple PUSCHs</w:t>
      </w:r>
    </w:p>
    <w:p>
      <w:pPr>
        <w:numPr>
          <w:ilvl w:val="2"/>
          <w:numId w:val="28"/>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extendedK2-r17</w:t>
      </w:r>
    </w:p>
    <w:p>
      <w:pPr>
        <w:snapToGrid w:val="0"/>
        <w:spacing w:after="120" w:line="240" w:lineRule="auto"/>
        <w:jc w:val="both"/>
        <w:rPr>
          <w:rFonts w:ascii="Times New Roman" w:hAnsi="Times New Roman" w:cs="Times New Roman"/>
          <w:lang w:eastAsia="sv-SE"/>
        </w:rPr>
      </w:pPr>
      <w:r>
        <w:rPr>
          <w:rFonts w:ascii="Times New Roman" w:hAnsi="Times New Roman" w:cs="Times New Roman"/>
          <w:lang w:eastAsia="sv-SE"/>
        </w:rPr>
        <w:t>According to the agreed traffic model of XR in Rel-17, mean packet size is very large, so, large TB size for XR transmission is suitable, for Alt B, more than one PUSCH TOs within a slot means a large TB need to split into multiple small size of TBs</w:t>
      </w:r>
      <w:r>
        <w:rPr>
          <w:rFonts w:hint="eastAsia" w:ascii="Times New Roman" w:hAnsi="Times New Roman" w:cs="Times New Roman"/>
          <w:lang w:val="en-US" w:eastAsia="zh-CN"/>
        </w:rPr>
        <w:t xml:space="preserve"> </w:t>
      </w:r>
      <w:r>
        <w:rPr>
          <w:rFonts w:ascii="Times New Roman" w:hAnsi="Times New Roman" w:cs="Times New Roman"/>
          <w:lang w:eastAsia="sv-SE"/>
        </w:rPr>
        <w:t xml:space="preserve">within a slot, it seems no obvious advantage can be achieved. For Alt C-2, </w:t>
      </w:r>
      <w:r>
        <w:rPr>
          <w:rFonts w:ascii="Times New Roman" w:hAnsi="Times New Roman" w:eastAsia="等线" w:cs="Times New Roman"/>
          <w:szCs w:val="18"/>
          <w:lang w:eastAsia="zh-CN"/>
        </w:rPr>
        <w:t xml:space="preserve">the packet size of XR is varying in time and the actual size does not know by gNB/UE in advanced, in our understanding, different SLIVs within a CG cannot bring </w:t>
      </w:r>
      <w:r>
        <w:rPr>
          <w:rFonts w:ascii="Times New Roman" w:hAnsi="Times New Roman" w:cs="Times New Roman"/>
          <w:lang w:eastAsia="sv-SE"/>
        </w:rPr>
        <w:t>obvious advantage</w:t>
      </w:r>
      <w:r>
        <w:rPr>
          <w:rFonts w:ascii="Times New Roman" w:hAnsi="Times New Roman" w:eastAsia="等线" w:cs="Times New Roman"/>
          <w:szCs w:val="18"/>
          <w:lang w:eastAsia="zh-CN"/>
        </w:rPr>
        <w:t xml:space="preserve"> for XR.</w:t>
      </w:r>
      <w:r>
        <w:rPr>
          <w:rFonts w:ascii="Times New Roman" w:hAnsi="Times New Roman" w:cs="Times New Roman"/>
          <w:lang w:eastAsia="sv-SE"/>
        </w:rPr>
        <w:t xml:space="preserve"> Thus, Alt A is enough.   </w:t>
      </w:r>
    </w:p>
    <w:p>
      <w:pPr>
        <w:spacing w:after="0"/>
        <w:jc w:val="both"/>
        <w:rPr>
          <w:rFonts w:ascii="Times New Roman" w:hAnsi="Times New Roman" w:cs="Times New Roman"/>
          <w:b/>
          <w:i/>
          <w:szCs w:val="20"/>
          <w:lang w:eastAsia="ja-JP"/>
        </w:rPr>
      </w:pPr>
      <w:r>
        <w:rPr>
          <w:rFonts w:ascii="Times New Roman" w:hAnsi="Times New Roman" w:cs="Times New Roman"/>
          <w:b/>
          <w:i/>
          <w:szCs w:val="20"/>
          <w:lang w:eastAsia="ja-JP"/>
        </w:rPr>
        <w:t>Proposal 1: Follow the time domain resource mapping of Type A repetition can be used for multiple TOs within a CG configuration.</w:t>
      </w:r>
    </w:p>
    <w:p>
      <w:pPr>
        <w:numPr>
          <w:ilvl w:val="2"/>
          <w:numId w:val="28"/>
        </w:numPr>
        <w:spacing w:after="0" w:line="256" w:lineRule="auto"/>
        <w:rPr>
          <w:rFonts w:ascii="Times New Roman" w:hAnsi="Times New Roman" w:cs="Times New Roman"/>
          <w:b/>
          <w:i/>
          <w:lang w:eastAsia="ja-JP"/>
        </w:rPr>
      </w:pPr>
      <w:r>
        <w:rPr>
          <w:rFonts w:ascii="Times New Roman" w:hAnsi="Times New Roman" w:cs="Times New Roman"/>
          <w:b/>
          <w:i/>
          <w:lang w:eastAsia="ja-JP"/>
        </w:rPr>
        <w:t>N indicated by activation DCI</w:t>
      </w:r>
    </w:p>
    <w:p>
      <w:pPr>
        <w:numPr>
          <w:ilvl w:val="2"/>
          <w:numId w:val="28"/>
        </w:numPr>
        <w:spacing w:after="0" w:line="256" w:lineRule="auto"/>
        <w:rPr>
          <w:rFonts w:ascii="Times New Roman" w:hAnsi="Times New Roman" w:cs="Times New Roman"/>
          <w:b/>
          <w:i/>
          <w:lang w:eastAsia="ja-JP"/>
        </w:rPr>
      </w:pPr>
      <w:r>
        <w:rPr>
          <w:rFonts w:ascii="Times New Roman" w:hAnsi="Times New Roman" w:cs="Times New Roman"/>
          <w:b/>
          <w:i/>
          <w:lang w:eastAsia="ja-JP"/>
        </w:rPr>
        <w:t>Single SLIV is determined from TDRA</w:t>
      </w:r>
    </w:p>
    <w:p>
      <w:pPr>
        <w:numPr>
          <w:ilvl w:val="2"/>
          <w:numId w:val="28"/>
        </w:numPr>
        <w:spacing w:after="0" w:line="256" w:lineRule="auto"/>
        <w:rPr>
          <w:rFonts w:ascii="Times New Roman" w:hAnsi="Times New Roman" w:cs="Times New Roman"/>
          <w:b/>
          <w:i/>
          <w:lang w:eastAsia="ja-JP"/>
        </w:rPr>
      </w:pPr>
      <w:r>
        <w:rPr>
          <w:rFonts w:ascii="Times New Roman" w:hAnsi="Times New Roman" w:cs="Times New Roman"/>
          <w:b/>
          <w:i/>
          <w:lang w:eastAsia="ja-JP"/>
        </w:rPr>
        <w:t>The same SLIV in N PUSCH in consecutive slots per CG period</w:t>
      </w:r>
    </w:p>
    <w:p>
      <w:pPr>
        <w:spacing w:after="0"/>
        <w:rPr>
          <w:rFonts w:ascii="Times New Roman" w:hAnsi="Times New Roman" w:eastAsia="MS Mincho" w:cs="Times New Roman"/>
          <w:szCs w:val="20"/>
          <w:lang w:eastAsia="ja-JP"/>
        </w:rPr>
      </w:pPr>
    </w:p>
    <w:p>
      <w:pPr>
        <w:pStyle w:val="83"/>
        <w:numPr>
          <w:ilvl w:val="0"/>
          <w:numId w:val="27"/>
        </w:numPr>
        <w:jc w:val="both"/>
        <w:rPr>
          <w:rFonts w:ascii="Times New Roman" w:hAnsi="Times New Roman" w:eastAsia="宋体" w:cs="Times New Roman"/>
          <w:b/>
          <w:lang w:eastAsia="zh-CN" w:bidi="ar"/>
        </w:rPr>
      </w:pPr>
      <w:r>
        <w:rPr>
          <w:rFonts w:ascii="Times New Roman" w:hAnsi="Times New Roman" w:eastAsia="宋体" w:cs="Times New Roman"/>
          <w:b/>
          <w:lang w:eastAsia="zh-CN" w:bidi="ar"/>
        </w:rPr>
        <w:t>Indicate the number of TOs within a CG configuration</w:t>
      </w:r>
    </w:p>
    <w:p>
      <w:pPr>
        <w:jc w:val="both"/>
        <w:rPr>
          <w:rFonts w:ascii="Times New Roman" w:hAnsi="Times New Roman" w:cs="Times New Roman"/>
        </w:rPr>
      </w:pPr>
      <w:r>
        <w:rPr>
          <w:rFonts w:ascii="Times New Roman" w:hAnsi="Times New Roman" w:cs="Times New Roman"/>
        </w:rPr>
        <w:t xml:space="preserve">In current specification, a CG configuration supports single PUSCH transmission with or without repetitions, when a CG configured with repetition and the number of repetition is large than 1, then multiple transmission occasions can be used for transmitting a TB and the corresponding repetitions can be with a same or different RV(s). </w:t>
      </w:r>
      <w:r>
        <w:rPr>
          <w:rFonts w:ascii="Times New Roman" w:hAnsi="Times New Roman" w:cs="Times New Roman"/>
          <w:lang w:eastAsia="zh-CN"/>
        </w:rPr>
        <w:t xml:space="preserve">In Rel-15, semi-static configured the number of repetition (e.g. Rep k) for CG is supported, to </w:t>
      </w:r>
      <w:r>
        <w:rPr>
          <w:rFonts w:ascii="Times New Roman" w:hAnsi="Times New Roman" w:cs="Times New Roman"/>
          <w:color w:val="000000"/>
        </w:rPr>
        <w:t>provide the better scheduling flexibility</w:t>
      </w:r>
      <w:r>
        <w:rPr>
          <w:rFonts w:ascii="Times New Roman" w:hAnsi="Times New Roman" w:cs="Times New Roman"/>
        </w:rPr>
        <w:t>, dynamic indication the number of repetition is also supported for CG in Rel-16 through adding a new column in TDRA. Similar rules can be used to indicate the number of TOs within a CG configuration, e.g. a new column can be added into the TDRA table, when the DCI indicates a row containing the number of multiple TOs, the granted transmission corresponds to the multiple TOs transmission within a CG configuration.</w:t>
      </w:r>
    </w:p>
    <w:p>
      <w:pPr>
        <w:adjustRightInd w:val="0"/>
        <w:snapToGrid w:val="0"/>
        <w:jc w:val="both"/>
        <w:rPr>
          <w:rFonts w:ascii="Times New Roman" w:hAnsi="Times New Roman" w:cs="Times New Roman"/>
          <w:b/>
          <w:i/>
          <w:lang w:eastAsia="zh-CN"/>
        </w:rPr>
      </w:pPr>
      <w:r>
        <w:rPr>
          <w:rFonts w:ascii="Times New Roman" w:hAnsi="Times New Roman" w:cs="Times New Roman"/>
          <w:b/>
          <w:i/>
          <w:lang w:eastAsia="zh-CN"/>
        </w:rPr>
        <w:t xml:space="preserve">Proposal 2: The number of multiple TOs within a CG configuration can be indicated by TDRA. </w:t>
      </w:r>
    </w:p>
    <w:p>
      <w:pPr>
        <w:jc w:val="both"/>
        <w:rPr>
          <w:rFonts w:ascii="Times New Roman" w:hAnsi="Times New Roman" w:cs="Times New Roman"/>
        </w:rPr>
      </w:pPr>
      <w:r>
        <w:rPr>
          <w:rFonts w:ascii="Times New Roman" w:hAnsi="Times New Roman" w:cs="Times New Roman"/>
          <w:lang w:eastAsia="zh-CN"/>
        </w:rPr>
        <w:t xml:space="preserve">In addition, for XR service, high reliability is also a key requirement, to improve the reliability of XR traffic, one of the most straightforward way is enabled repetition of multi-PUSCHs within a CG configuration. As a result, repetition for multiple PUSCHs transmission within a CG configuration need to be considered.  </w:t>
      </w:r>
    </w:p>
    <w:p>
      <w:pPr>
        <w:jc w:val="both"/>
        <w:rPr>
          <w:rFonts w:ascii="Times New Roman" w:hAnsi="Times New Roman" w:cs="Times New Roman"/>
          <w:b/>
          <w:i/>
          <w:position w:val="-6"/>
        </w:rPr>
      </w:pPr>
      <w:r>
        <w:rPr>
          <w:rFonts w:ascii="Times New Roman" w:hAnsi="Times New Roman" w:cs="Times New Roman"/>
          <w:b/>
          <w:bCs/>
          <w:i/>
          <w:position w:val="-6"/>
        </w:rPr>
        <w:t xml:space="preserve">Proposal 3: </w:t>
      </w:r>
      <w:r>
        <w:rPr>
          <w:rFonts w:ascii="Times New Roman" w:hAnsi="Times New Roman" w:cs="Times New Roman"/>
          <w:b/>
          <w:i/>
          <w:position w:val="-6"/>
        </w:rPr>
        <w:t>Repetition for multi-PUSCH</w:t>
      </w:r>
      <w:r>
        <w:rPr>
          <w:rFonts w:ascii="Times New Roman" w:hAnsi="Times New Roman" w:cs="Times New Roman"/>
          <w:b/>
          <w:i/>
          <w:position w:val="-6"/>
          <w:lang w:eastAsia="zh-CN"/>
        </w:rPr>
        <w:t>s</w:t>
      </w:r>
      <w:r>
        <w:rPr>
          <w:rFonts w:ascii="Times New Roman" w:hAnsi="Times New Roman" w:cs="Times New Roman"/>
          <w:b/>
          <w:i/>
          <w:position w:val="-6"/>
        </w:rPr>
        <w:t xml:space="preserve"> transmissions within a CG configuration can be supported. </w:t>
      </w:r>
    </w:p>
    <w:p>
      <w:pPr>
        <w:pStyle w:val="83"/>
        <w:numPr>
          <w:ilvl w:val="0"/>
          <w:numId w:val="29"/>
        </w:numPr>
        <w:spacing w:before="120" w:beforeLines="50" w:after="120" w:afterLines="50"/>
        <w:jc w:val="both"/>
        <w:rPr>
          <w:rFonts w:ascii="Times New Roman" w:hAnsi="Times New Roman" w:eastAsia="宋体" w:cs="Times New Roman"/>
          <w:b/>
          <w:lang w:eastAsia="zh-CN" w:bidi="ar"/>
        </w:rPr>
      </w:pPr>
      <w:r>
        <w:rPr>
          <w:rFonts w:ascii="Times New Roman" w:hAnsi="Times New Roman" w:eastAsia="宋体" w:cs="Times New Roman"/>
          <w:b/>
          <w:lang w:eastAsia="zh-CN" w:bidi="ar"/>
        </w:rPr>
        <w:t>HARQ-ID for multiple TOs within a CG configuration</w:t>
      </w:r>
    </w:p>
    <w:p>
      <w:pPr>
        <w:jc w:val="both"/>
        <w:rPr>
          <w:rFonts w:ascii="Times New Roman" w:hAnsi="Times New Roman" w:cs="Times New Roman"/>
        </w:rPr>
      </w:pPr>
      <w:r>
        <w:rPr>
          <w:rFonts w:ascii="Times New Roman" w:hAnsi="Times New Roman" w:cs="Times New Roman"/>
        </w:rPr>
        <w:t>In current spec, the HARQ-ID of a CG configuration is calculated based on the time location of the first transmission occasion, as the following formula:</w:t>
      </w:r>
    </w:p>
    <w:p>
      <w:pPr>
        <w:jc w:val="both"/>
        <w:rPr>
          <w:rFonts w:ascii="Times New Roman" w:hAnsi="Times New Roman" w:cs="Times New Roman"/>
          <w:i/>
        </w:rPr>
      </w:pPr>
      <w:r>
        <w:rPr>
          <w:rFonts w:ascii="Times New Roman" w:hAnsi="Times New Roman" w:cs="Times New Roman"/>
        </w:rPr>
        <w:t xml:space="preserve">HARQ Process ID = [floor(CURRENT_symbol / </w:t>
      </w:r>
      <w:r>
        <w:rPr>
          <w:rFonts w:ascii="Times New Roman" w:hAnsi="Times New Roman" w:cs="Times New Roman"/>
          <w:i/>
        </w:rPr>
        <w:t>periodicity</w:t>
      </w:r>
      <w:r>
        <w:rPr>
          <w:rFonts w:ascii="Times New Roman" w:hAnsi="Times New Roman" w:cs="Times New Roman"/>
        </w:rPr>
        <w:t xml:space="preserve">)] modulo </w:t>
      </w:r>
      <w:r>
        <w:rPr>
          <w:rFonts w:ascii="Times New Roman" w:hAnsi="Times New Roman" w:cs="Times New Roman"/>
          <w:i/>
        </w:rPr>
        <w:t>nrofHARQ-Processes</w:t>
      </w:r>
      <w:r>
        <w:rPr>
          <w:rFonts w:ascii="Times New Roman" w:hAnsi="Times New Roman" w:cs="Times New Roman"/>
        </w:rPr>
        <w:t xml:space="preserve"> + </w:t>
      </w:r>
      <w:r>
        <w:rPr>
          <w:rFonts w:ascii="Times New Roman" w:hAnsi="Times New Roman" w:cs="Times New Roman"/>
          <w:i/>
        </w:rPr>
        <w:t xml:space="preserve">harq-ProcID-Offset </w:t>
      </w:r>
    </w:p>
    <w:p>
      <w:pPr>
        <w:jc w:val="both"/>
        <w:rPr>
          <w:rFonts w:ascii="Times New Roman" w:hAnsi="Times New Roman" w:cs="Times New Roman"/>
        </w:rPr>
      </w:pPr>
      <w:r>
        <w:rPr>
          <w:rFonts w:ascii="Times New Roman" w:hAnsi="Times New Roman" w:cs="Times New Roman"/>
          <w:lang w:eastAsia="ko-KR"/>
        </w:rPr>
        <w:t xml:space="preserve">where CURRENT_symbol = (SFN × </w:t>
      </w:r>
      <w:r>
        <w:rPr>
          <w:rFonts w:ascii="Times New Roman" w:hAnsi="Times New Roman" w:cs="Times New Roman"/>
          <w:i/>
          <w:lang w:eastAsia="ko-KR"/>
        </w:rPr>
        <w:t>numberOfSlotsPerFrame</w:t>
      </w:r>
      <w:r>
        <w:rPr>
          <w:rFonts w:ascii="Times New Roman" w:hAnsi="Times New Roman" w:cs="Times New Roman"/>
          <w:lang w:eastAsia="ko-KR"/>
        </w:rPr>
        <w:t xml:space="preserve"> × </w:t>
      </w:r>
      <w:r>
        <w:rPr>
          <w:rFonts w:ascii="Times New Roman" w:hAnsi="Times New Roman" w:cs="Times New Roman"/>
          <w:i/>
          <w:lang w:eastAsia="ko-KR"/>
        </w:rPr>
        <w:t>numberOfSymbolsPerSlot</w:t>
      </w:r>
      <w:r>
        <w:rPr>
          <w:rFonts w:ascii="Times New Roman" w:hAnsi="Times New Roman" w:cs="Times New Roman"/>
          <w:lang w:eastAsia="ko-KR"/>
        </w:rPr>
        <w:t xml:space="preserve"> + slot number in the frame × </w:t>
      </w:r>
      <w:r>
        <w:rPr>
          <w:rFonts w:ascii="Times New Roman" w:hAnsi="Times New Roman" w:cs="Times New Roman"/>
          <w:i/>
          <w:lang w:eastAsia="ko-KR"/>
        </w:rPr>
        <w:t>numberOfSymbolsPerSlot</w:t>
      </w:r>
      <w:r>
        <w:rPr>
          <w:rFonts w:ascii="Times New Roman" w:hAnsi="Times New Roman" w:cs="Times New Roman"/>
          <w:lang w:eastAsia="ko-KR"/>
        </w:rPr>
        <w:t xml:space="preserve"> + symbol number in the slot), and </w:t>
      </w:r>
      <w:r>
        <w:rPr>
          <w:rFonts w:ascii="Times New Roman" w:hAnsi="Times New Roman" w:cs="Times New Roman"/>
          <w:i/>
          <w:lang w:eastAsia="ko-KR"/>
        </w:rPr>
        <w:t>numberOfSlotsPerFrame</w:t>
      </w:r>
      <w:r>
        <w:rPr>
          <w:rFonts w:ascii="Times New Roman" w:hAnsi="Times New Roman" w:cs="Times New Roman"/>
          <w:lang w:eastAsia="ko-KR"/>
        </w:rPr>
        <w:t xml:space="preserve"> and </w:t>
      </w:r>
      <w:r>
        <w:rPr>
          <w:rFonts w:ascii="Times New Roman" w:hAnsi="Times New Roman" w:cs="Times New Roman"/>
          <w:i/>
          <w:lang w:eastAsia="ko-KR"/>
        </w:rPr>
        <w:t>numberOfSymbolsPerSlot</w:t>
      </w:r>
      <w:r>
        <w:rPr>
          <w:rFonts w:ascii="Times New Roman" w:hAnsi="Times New Roman" w:cs="Times New Roman"/>
          <w:lang w:eastAsia="ko-KR"/>
        </w:rPr>
        <w:t xml:space="preserve"> refer to the number of consecutive slots per frame and the number of consecutive symbols per slot, respectively as specified in TS 38.211.</w:t>
      </w:r>
    </w:p>
    <w:p>
      <w:pPr>
        <w:pStyle w:val="190"/>
        <w:rPr>
          <w:sz w:val="22"/>
          <w:szCs w:val="22"/>
        </w:rPr>
      </w:pPr>
      <w:r>
        <w:rPr>
          <w:sz w:val="22"/>
          <w:szCs w:val="22"/>
        </w:rPr>
        <w:t xml:space="preserve">In </w:t>
      </w:r>
      <w:r>
        <w:rPr>
          <w:rFonts w:hint="eastAsia"/>
          <w:sz w:val="22"/>
          <w:szCs w:val="22"/>
          <w:lang w:val="en-US" w:eastAsia="zh-CN"/>
        </w:rPr>
        <w:t>R</w:t>
      </w:r>
      <w:r>
        <w:rPr>
          <w:sz w:val="22"/>
          <w:szCs w:val="22"/>
        </w:rPr>
        <w:t>el-15/16, PUSCH repetitions allow a single transport block transmission over one or multi-slots with a shared HARQ-ID. However, when more than one transport blocks can be allowed to transmit over multiple TOs within a CG configuration, the shared HARQ-ID for multiple TOs within a CG will be leaded ambiguity between gNB and UE. As a results, the HARQ-ID between multiple TOs within a CG configuration need to be determined independently.</w:t>
      </w:r>
    </w:p>
    <w:p>
      <w:pPr>
        <w:spacing w:after="0"/>
        <w:jc w:val="both"/>
        <w:rPr>
          <w:rFonts w:ascii="Times New Roman" w:hAnsi="Times New Roman" w:cs="Times New Roman"/>
          <w:szCs w:val="20"/>
          <w:lang w:eastAsia="zh-CN"/>
        </w:rPr>
      </w:pPr>
      <w:r>
        <w:rPr>
          <w:rFonts w:ascii="Times New Roman" w:hAnsi="Times New Roman" w:cs="Times New Roman"/>
        </w:rPr>
        <w:t>To determine the HARQ-ID for multi-PUSCHs within a CG configuration, in our</w:t>
      </w:r>
      <w:r>
        <w:rPr>
          <w:rFonts w:ascii="Times New Roman" w:hAnsi="Times New Roman" w:cs="Times New Roman"/>
          <w:lang w:eastAsia="zh-CN"/>
        </w:rPr>
        <w:t xml:space="preserve"> </w:t>
      </w:r>
      <w:r>
        <w:rPr>
          <w:rFonts w:ascii="Times New Roman" w:hAnsi="Times New Roman" w:cs="Times New Roman"/>
        </w:rPr>
        <w:t>views, the current mechanism can be reused as much as possible to mitigate the impact of spec. A reference HARQ-ID can be calculated based on current formula defined in TS 38.321, then the</w:t>
      </w:r>
      <w:r>
        <w:rPr>
          <w:rFonts w:ascii="Times New Roman" w:hAnsi="Times New Roman" w:cs="Times New Roman"/>
          <w:szCs w:val="20"/>
          <w:lang w:eastAsia="zh-CN"/>
        </w:rPr>
        <w:t xml:space="preserve"> HARQ process ID of the remaining TOs within the CG period is determined by incrementing the HARQ process ID of the preceding TO in the period, thus, the value of X can be equal to 1.</w:t>
      </w:r>
      <w:r>
        <w:rPr>
          <w:rFonts w:ascii="Times New Roman" w:hAnsi="Times New Roman" w:cs="Times New Roman"/>
          <w:lang w:eastAsia="zh-CN"/>
        </w:rPr>
        <w:t xml:space="preserve"> With this method, the HARQ-ID for different CG PUSCHs in consecutive periods may be collided, to solve this, the value of Y using for </w:t>
      </w:r>
      <w:r>
        <w:rPr>
          <w:rFonts w:ascii="Times New Roman" w:hAnsi="Times New Roman" w:cs="Times New Roman"/>
        </w:rPr>
        <w:t xml:space="preserve">remaining CG PUSCHs determination within the period can be large than 1(e.g. configured by RRC). Some companies proposed introducing time offset values to handle of jitter and un-used TOs, in our view, to handle of jitter, a offset is needed. However, for un-used TOs, if the gNB miss detect of UCI which is used to indicate the un-used TOs within a CG periodicity, this will be leaded ambiguity between gNB and UE to determine the HARQ-ID, thus, no need to introduce an offset to handle of un-used TOs within a CG configuration. </w:t>
      </w:r>
    </w:p>
    <w:p>
      <w:pPr>
        <w:pStyle w:val="83"/>
        <w:spacing w:before="120" w:beforeLines="50" w:after="120" w:afterLines="50"/>
        <w:ind w:left="0"/>
        <w:jc w:val="both"/>
        <w:rPr>
          <w:rFonts w:ascii="Times New Roman" w:hAnsi="Times New Roman" w:eastAsia="Times New Roman" w:cs="Times New Roman"/>
          <w:i/>
          <w:szCs w:val="20"/>
          <w:lang w:eastAsia="ko-KR"/>
        </w:rPr>
      </w:pPr>
      <w:r>
        <w:rPr>
          <w:rFonts w:ascii="Times New Roman" w:hAnsi="Times New Roman" w:eastAsia="宋体" w:cs="Times New Roman"/>
          <w:b/>
          <w:i/>
          <w:lang w:eastAsia="zh-CN" w:bidi="ar"/>
        </w:rPr>
        <w:t xml:space="preserve">Proposal 4: For XR, when multiple TOs within a CG is configured, the HARQ-ID for the first configured/valid PUSCH within a CG configuration is determined based on current mechanism which is defined in TS 38.321, </w:t>
      </w:r>
      <w:r>
        <w:rPr>
          <w:rFonts w:ascii="Times New Roman" w:hAnsi="Times New Roman" w:cs="Times New Roman"/>
          <w:b/>
          <w:i/>
          <w:szCs w:val="20"/>
        </w:rPr>
        <w:t xml:space="preserve">the HARQ process ID of the remaining configured/valid CG PUSCHs in the period is determined by incrementing the HARQ process ID of the preceding PUSCH in the period by Y with module operation with </w:t>
      </w:r>
      <w:r>
        <w:rPr>
          <w:rFonts w:ascii="Times New Roman" w:hAnsi="Times New Roman" w:eastAsia="Times New Roman" w:cs="Times New Roman"/>
          <w:b/>
          <w:i/>
          <w:szCs w:val="20"/>
          <w:lang w:eastAsia="ko-KR"/>
        </w:rPr>
        <w:t>nrofHARQ-Processes.</w:t>
      </w:r>
    </w:p>
    <w:p>
      <w:pPr>
        <w:pStyle w:val="83"/>
        <w:numPr>
          <w:ilvl w:val="0"/>
          <w:numId w:val="30"/>
        </w:numPr>
        <w:spacing w:before="120" w:beforeLines="50" w:after="120" w:afterLines="50"/>
        <w:jc w:val="both"/>
        <w:rPr>
          <w:rFonts w:ascii="Times New Roman" w:hAnsi="Times New Roman" w:eastAsia="Times New Roman" w:cs="Times New Roman"/>
          <w:b/>
          <w:i/>
          <w:szCs w:val="20"/>
          <w:lang w:eastAsia="ko-KR"/>
        </w:rPr>
      </w:pPr>
      <w:r>
        <w:rPr>
          <w:rFonts w:ascii="Times New Roman" w:hAnsi="Times New Roman" w:eastAsia="Times New Roman" w:cs="Times New Roman"/>
          <w:b/>
          <w:i/>
          <w:szCs w:val="20"/>
          <w:lang w:eastAsia="ko-KR"/>
        </w:rPr>
        <w:t>X =1</w:t>
      </w:r>
    </w:p>
    <w:p>
      <w:pPr>
        <w:pStyle w:val="83"/>
        <w:numPr>
          <w:ilvl w:val="0"/>
          <w:numId w:val="30"/>
        </w:numPr>
        <w:spacing w:before="120" w:beforeLines="50" w:after="120" w:afterLines="50"/>
        <w:jc w:val="both"/>
        <w:rPr>
          <w:rFonts w:ascii="Times New Roman" w:hAnsi="Times New Roman" w:eastAsia="Times New Roman" w:cs="Times New Roman"/>
          <w:b/>
          <w:i/>
          <w:szCs w:val="20"/>
          <w:lang w:eastAsia="ko-KR"/>
        </w:rPr>
      </w:pPr>
      <w:r>
        <w:rPr>
          <w:rFonts w:ascii="Times New Roman" w:hAnsi="Times New Roman" w:eastAsia="Times New Roman" w:cs="Times New Roman"/>
          <w:b/>
          <w:i/>
          <w:szCs w:val="20"/>
          <w:lang w:eastAsia="ko-KR"/>
        </w:rPr>
        <w:t>Y can be larger than 1 and is determined based on RRC</w:t>
      </w:r>
    </w:p>
    <w:p>
      <w:pPr>
        <w:pStyle w:val="4"/>
        <w:rPr>
          <w:sz w:val="22"/>
          <w:szCs w:val="22"/>
          <w:lang w:val="en-US"/>
        </w:rPr>
      </w:pPr>
      <w:r>
        <w:rPr>
          <w:sz w:val="22"/>
          <w:szCs w:val="22"/>
          <w:lang w:val="en-US"/>
        </w:rPr>
        <w:t>UCI using to indicate the unused TOs within a CG configuration</w:t>
      </w:r>
    </w:p>
    <w:p>
      <w:pPr>
        <w:jc w:val="both"/>
        <w:rPr>
          <w:rFonts w:ascii="Times New Roman" w:hAnsi="Times New Roman" w:cs="Times New Roman"/>
        </w:rPr>
      </w:pPr>
      <w:r>
        <w:rPr>
          <w:rFonts w:ascii="Times New Roman" w:hAnsi="Times New Roman" w:cs="Times New Roman"/>
        </w:rPr>
        <w:t xml:space="preserve">As the XR video traffic is generated periodically and with low latency and vary packet size, to support XR traffic by CG is one straightforward way to reduce the scheduling delay thanks to no SR and BSR procedure. For XR video with large packet, a PUSCH transmission occasion within a CG configuration is not enough to transmit a whole packet, </w:t>
      </w:r>
      <w:r>
        <w:rPr>
          <w:rFonts w:ascii="Times New Roman" w:hAnsi="Times New Roman" w:eastAsia="宋体" w:cs="Times New Roman"/>
          <w:lang w:eastAsia="zh-CN"/>
        </w:rPr>
        <w:t xml:space="preserve">in addition, as the CG resources is semi-statically configured to UE, due to lack information of the XR packet, then gNB need to configure enough number of TOs </w:t>
      </w:r>
      <w:r>
        <w:rPr>
          <w:rFonts w:ascii="Times New Roman" w:hAnsi="Times New Roman" w:cs="Times New Roman"/>
        </w:rPr>
        <w:t xml:space="preserve">within a CG period to make sure the XR packet can be carried whole, however, this may be lead resources oversupplied. To avoid resource waste, the un-used TOs within a CG configuration can be indicated to gNB, then the resources reserved for the un-used TOs can be allocated to other UEs. There are two cases which the UE need to indicate the unused TOs to gNB. </w:t>
      </w:r>
    </w:p>
    <w:p>
      <w:pPr>
        <w:jc w:val="both"/>
        <w:rPr>
          <w:rFonts w:ascii="Times New Roman" w:hAnsi="Times New Roman" w:eastAsia="宋体" w:cs="Times New Roman"/>
          <w:lang w:eastAsia="zh-CN"/>
        </w:rPr>
      </w:pPr>
      <w:r>
        <w:rPr>
          <w:rFonts w:ascii="Times New Roman" w:hAnsi="Times New Roman" w:cs="Times New Roman"/>
        </w:rPr>
        <w:t xml:space="preserve">Case 1: A set of consecutive/non-consecutive unused TOs are located in the front of a CG period. As XR traffic is pseudo-period arrival, the CG configuration should be matched with the period of XR, however, due to jitter, the traffic arrival of XR will be late than the expected TOs within a CG period, as show in figure 1. 4 PUSCHs in one CG period are configured, and during the period P2, the packet arrival at the third TO when jitter happened, as a results, the front 2 consecutive TOs within CG period P2 are unused TOs. </w:t>
      </w:r>
    </w:p>
    <w:p>
      <w:pPr>
        <w:jc w:val="both"/>
        <w:rPr>
          <w:rFonts w:ascii="Times New Roman" w:hAnsi="Times New Roman" w:cs="Times New Roman"/>
        </w:rPr>
      </w:pPr>
      <w:r>
        <w:rPr>
          <w:rFonts w:ascii="Times New Roman" w:hAnsi="Times New Roman" w:cs="Times New Roman"/>
        </w:rPr>
        <w:t xml:space="preserve">  </w:t>
      </w:r>
    </w:p>
    <w:p>
      <w:pPr>
        <w:jc w:val="center"/>
        <w:rPr>
          <w:rFonts w:ascii="Times New Roman" w:hAnsi="Times New Roman" w:eastAsia="宋体" w:cs="Times New Roman"/>
          <w:lang w:eastAsia="zh-CN"/>
        </w:rPr>
      </w:pPr>
      <w:r>
        <w:rPr>
          <w:rFonts w:ascii="Times New Roman" w:hAnsi="Times New Roman" w:eastAsia="宋体" w:cs="Times New Roman"/>
          <w:lang w:eastAsia="zh-CN"/>
        </w:rPr>
        <w:drawing>
          <wp:inline distT="0" distB="0" distL="0" distR="0">
            <wp:extent cx="4706620" cy="15259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4757894" cy="1542757"/>
                    </a:xfrm>
                    <a:prstGeom prst="rect">
                      <a:avLst/>
                    </a:prstGeom>
                  </pic:spPr>
                </pic:pic>
              </a:graphicData>
            </a:graphic>
          </wp:inline>
        </w:drawing>
      </w:r>
    </w:p>
    <w:p>
      <w:pPr>
        <w:jc w:val="center"/>
        <w:rPr>
          <w:rFonts w:ascii="Times New Roman" w:hAnsi="Times New Roman" w:eastAsia="宋体" w:cs="Times New Roman"/>
          <w:lang w:eastAsia="zh-CN"/>
        </w:rPr>
      </w:pPr>
      <w:r>
        <w:rPr>
          <w:rFonts w:ascii="Times New Roman" w:hAnsi="Times New Roman" w:cs="Times New Roman"/>
        </w:rPr>
        <w:t>Figure 1. Variable size and jitter for XR frame size with CG</w:t>
      </w:r>
    </w:p>
    <w:p>
      <w:pPr>
        <w:spacing w:before="156" w:after="156"/>
        <w:jc w:val="both"/>
        <w:rPr>
          <w:rFonts w:ascii="Times New Roman" w:hAnsi="Times New Roman" w:cs="Times New Roman"/>
          <w:lang w:eastAsia="zh-CN"/>
        </w:rPr>
      </w:pPr>
      <w:r>
        <w:rPr>
          <w:rFonts w:ascii="Times New Roman" w:hAnsi="Times New Roman" w:eastAsia="宋体" w:cs="Times New Roman"/>
          <w:lang w:eastAsia="zh-CN"/>
        </w:rPr>
        <w:t xml:space="preserve">Case 2: </w:t>
      </w:r>
      <w:r>
        <w:rPr>
          <w:rFonts w:ascii="Times New Roman" w:hAnsi="Times New Roman" w:cs="Times New Roman"/>
        </w:rPr>
        <w:t>A set of consecutive/non-consecutive unused TOs are located in the end of a CG period, as show in figure 1. 4 PUSCHs in one CG period are configured, during the period P3,</w:t>
      </w:r>
      <w:r>
        <w:rPr>
          <w:rFonts w:ascii="Times New Roman" w:hAnsi="Times New Roman" w:cs="Times New Roman"/>
          <w:lang w:eastAsia="zh-CN"/>
        </w:rPr>
        <w:t xml:space="preserve"> 2 TOs are enough to carry the packet of XR, then the remaining 2 TOs are unused TOs. </w:t>
      </w:r>
    </w:p>
    <w:p>
      <w:pPr>
        <w:jc w:val="both"/>
        <w:rPr>
          <w:rFonts w:ascii="Times New Roman" w:hAnsi="Times New Roman" w:cs="Times New Roman"/>
          <w:b/>
          <w:i/>
          <w:lang w:eastAsia="zh-CN"/>
        </w:rPr>
      </w:pPr>
      <w:r>
        <w:rPr>
          <w:rFonts w:ascii="Times New Roman" w:hAnsi="Times New Roman" w:cs="Times New Roman"/>
          <w:b/>
          <w:i/>
          <w:lang w:eastAsia="zh-CN"/>
        </w:rPr>
        <w:t>Proposal 5: Both a set of unused TOs located in the front and the end of a CG configuration can be considered for CG enhanced for XR.</w:t>
      </w:r>
    </w:p>
    <w:p>
      <w:pPr>
        <w:jc w:val="both"/>
        <w:rPr>
          <w:rFonts w:ascii="Times New Roman" w:hAnsi="Times New Roman" w:cs="Times New Roman"/>
          <w:lang w:eastAsia="zh-CN"/>
        </w:rPr>
      </w:pPr>
      <w:r>
        <w:rPr>
          <w:rFonts w:ascii="Times New Roman" w:hAnsi="Times New Roman" w:cs="Times New Roman"/>
          <w:lang w:eastAsia="zh-CN"/>
        </w:rPr>
        <w:t>For the unused TOs within a CG configuration indication, in the last RAN1 meeting, it has been discussed and the following agreement has been achieved:</w:t>
      </w:r>
    </w:p>
    <w:p>
      <w:pPr>
        <w:pStyle w:val="83"/>
        <w:numPr>
          <w:ilvl w:val="0"/>
          <w:numId w:val="31"/>
        </w:numPr>
        <w:rPr>
          <w:rFonts w:ascii="Times New Roman" w:hAnsi="Times New Roman" w:cs="Times New Roman"/>
          <w:szCs w:val="20"/>
        </w:rPr>
      </w:pPr>
      <w:r>
        <w:rPr>
          <w:rFonts w:ascii="Times New Roman" w:hAnsi="Times New Roman" w:cs="Times New Roman"/>
          <w:szCs w:val="20"/>
        </w:rPr>
        <w:t>The UTO-UCI provides a bitmap where a bit corresponds to a TO within a time duration/range. The bit indicates whether the TO is “unused”.</w:t>
      </w:r>
    </w:p>
    <w:p>
      <w:pPr>
        <w:numPr>
          <w:ilvl w:val="0"/>
          <w:numId w:val="22"/>
        </w:numPr>
        <w:spacing w:after="0" w:line="240" w:lineRule="auto"/>
        <w:rPr>
          <w:rFonts w:ascii="Times New Roman" w:hAnsi="Times New Roman" w:cs="Times New Roman"/>
          <w:lang w:eastAsia="zh-CN"/>
        </w:rPr>
      </w:pPr>
      <w:r>
        <w:rPr>
          <w:rFonts w:ascii="Times New Roman" w:hAnsi="Times New Roman" w:cs="Times New Roman"/>
          <w:szCs w:val="20"/>
        </w:rPr>
        <w:t>FFS: Details including time duration/range</w:t>
      </w:r>
    </w:p>
    <w:p>
      <w:pPr>
        <w:spacing w:after="0" w:line="240" w:lineRule="auto"/>
        <w:rPr>
          <w:rFonts w:ascii="Times New Roman" w:hAnsi="Times New Roman" w:cs="Times New Roman"/>
          <w:lang w:eastAsia="zh-CN"/>
        </w:rPr>
      </w:pPr>
    </w:p>
    <w:p>
      <w:pPr>
        <w:jc w:val="both"/>
        <w:rPr>
          <w:rFonts w:ascii="Times New Roman" w:hAnsi="Times New Roman" w:cs="Times New Roman"/>
        </w:rPr>
      </w:pPr>
      <w:r>
        <w:rPr>
          <w:rFonts w:ascii="Times New Roman" w:hAnsi="Times New Roman" w:cs="Times New Roman"/>
          <w:bCs/>
        </w:rPr>
        <w:t xml:space="preserve">The details including a time duration/range is not decided yet, in our views, it seems coarse </w:t>
      </w:r>
      <w:r>
        <w:rPr>
          <w:rFonts w:ascii="Times New Roman" w:hAnsi="Times New Roman" w:cs="Times New Roman"/>
        </w:rPr>
        <w:t>indication granularity can be achieved by a UCI provides a bitmap where a bit corresponds to TOs within a time duration/range, with this way, the signaling overhead can be decreased. However, the flexibility for un-used TO indication is limited,</w:t>
      </w:r>
      <w:r>
        <w:rPr>
          <w:rFonts w:ascii="Times New Roman" w:hAnsi="Times New Roman" w:cs="Times New Roman"/>
          <w:lang w:eastAsia="sv-SE"/>
        </w:rPr>
        <w:t xml:space="preserve"> according to the agreed traffic model of XR in Rel-17, mean packet size is very large, </w:t>
      </w:r>
      <w:r>
        <w:rPr>
          <w:rFonts w:ascii="Times New Roman" w:hAnsi="Times New Roman" w:cs="Times New Roman"/>
        </w:rPr>
        <w:t xml:space="preserve">as the UCI is carried by CG-PUSCH, the corresponding resources reserved for UCI transmission is minuscule within the PUSCH which is used for such a large packet transmission. Thus, a UCI provides a bitmap where a bit corresponds to TOs within a time duration/range is not necessary.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6: The UCI determines the CG PUSCH TO(s) that are indicated as “unused” based on bitmap, and </w:t>
      </w:r>
      <w:r>
        <w:rPr>
          <w:rFonts w:ascii="Times New Roman" w:hAnsi="Times New Roman" w:cs="Times New Roman"/>
          <w:b/>
          <w:i/>
        </w:rPr>
        <w:t>the UCI provides a bitmap where a bit corresponds to a TO within a time duration/range.</w:t>
      </w:r>
    </w:p>
    <w:p>
      <w:pPr>
        <w:pStyle w:val="4"/>
      </w:pPr>
      <w:r>
        <w:t>UTO-UCI multiplexing rule</w:t>
      </w:r>
    </w:p>
    <w:p>
      <w:pPr>
        <w:rPr>
          <w:rFonts w:ascii="Times New Roman" w:hAnsi="Times New Roman" w:cs="Times New Roman"/>
          <w:lang w:eastAsia="zh-CN"/>
        </w:rPr>
      </w:pPr>
      <w:r>
        <w:rPr>
          <w:rFonts w:ascii="Times New Roman" w:hAnsi="Times New Roman" w:cs="Times New Roman"/>
          <w:lang w:eastAsia="zh-CN"/>
        </w:rPr>
        <w:t xml:space="preserve">In current spec, when higher layer parameter </w:t>
      </w:r>
      <w:r>
        <w:rPr>
          <w:rFonts w:ascii="Times New Roman" w:hAnsi="Times New Roman" w:cs="Times New Roman"/>
          <w:i/>
          <w:lang w:eastAsia="zh-CN"/>
        </w:rPr>
        <w:t>cg-UCI-Multiplexing</w:t>
      </w:r>
      <w:r>
        <w:rPr>
          <w:rFonts w:ascii="Times New Roman" w:hAnsi="Times New Roman" w:cs="Times New Roman"/>
          <w:lang w:eastAsia="zh-CN"/>
        </w:rPr>
        <w:t xml:space="preserve"> is configured, the UCI bit sequence </w:t>
      </w:r>
      <m:oMath>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r>
          <m:rPr/>
          <w:rPr>
            <w:rFonts w:ascii="Cambria Math" w:hAnsi="Cambria Math" w:cs="Times New Roman"/>
          </w:rPr>
          <m:t xml:space="preserve">, </m:t>
        </m:r>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1</m:t>
            </m:r>
            <m:ctrlPr>
              <w:rPr>
                <w:rFonts w:ascii="Cambria Math" w:hAnsi="Cambria Math" w:cs="Times New Roman"/>
                <w:i/>
              </w:rPr>
            </m:ctrlPr>
          </m:sub>
        </m:sSub>
        <m:r>
          <m:rPr/>
          <w:rPr>
            <w:rFonts w:ascii="Cambria Math" w:hAnsi="Cambria Math" w:cs="Times New Roman"/>
          </w:rPr>
          <m:t xml:space="preserve">, </m:t>
        </m:r>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2</m:t>
            </m:r>
            <m:ctrlPr>
              <w:rPr>
                <w:rFonts w:ascii="Cambria Math" w:hAnsi="Cambria Math" w:cs="Times New Roman"/>
                <w:i/>
              </w:rPr>
            </m:ctrlPr>
          </m:sub>
        </m:sSub>
        <m:r>
          <m:rPr/>
          <w:rPr>
            <w:rFonts w:ascii="Cambria Math" w:hAnsi="Cambria Math" w:cs="Times New Roman"/>
          </w:rPr>
          <m:t xml:space="preserve">, </m:t>
        </m:r>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3</m:t>
            </m:r>
            <m:ctrlPr>
              <w:rPr>
                <w:rFonts w:ascii="Cambria Math" w:hAnsi="Cambria Math" w:cs="Times New Roman"/>
                <w:i/>
              </w:rPr>
            </m:ctrlPr>
          </m:sub>
        </m:sSub>
        <m:r>
          <m:rPr/>
          <w:rPr>
            <w:rFonts w:ascii="Cambria Math" w:hAnsi="Cambria Math" w:cs="Times New Roman"/>
          </w:rPr>
          <m:t>, …,</m:t>
        </m:r>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A−1</m:t>
            </m:r>
            <m:ctrlPr>
              <w:rPr>
                <w:rFonts w:ascii="Cambria Math" w:hAnsi="Cambria Math" w:cs="Times New Roman"/>
                <w:i/>
              </w:rPr>
            </m:ctrlPr>
          </m:sub>
        </m:sSub>
        <m:r>
          <m:rPr/>
          <w:rPr>
            <w:rFonts w:ascii="Cambria Math" w:hAnsi="Cambria Math" w:cs="Times New Roman"/>
          </w:rPr>
          <m:t xml:space="preserve"> </m:t>
        </m:r>
      </m:oMath>
      <w:r>
        <w:rPr>
          <w:rFonts w:ascii="Times New Roman" w:hAnsi="Times New Roman" w:cs="Times New Roman"/>
          <w:lang w:eastAsia="zh-CN"/>
        </w:rPr>
        <w:t xml:space="preserve"> is determined as follows, where </w:t>
      </w:r>
      <m:oMath>
        <m:r>
          <m:rPr/>
          <w:rPr>
            <w:rFonts w:ascii="Cambria Math" w:hAnsi="Cambria Math" w:cs="Times New Roman"/>
            <w:lang w:eastAsia="zh-CN"/>
          </w:rPr>
          <m:t>A</m:t>
        </m:r>
        <m:r>
          <m:rPr>
            <m:sty m:val="p"/>
          </m:rPr>
          <w:rPr>
            <w:rFonts w:ascii="Cambria Math" w:hAnsi="Cambria Math" w:cs="Times New Roman"/>
            <w:lang w:eastAsia="zh-CN"/>
          </w:rPr>
          <m:t>=</m:t>
        </m:r>
        <m:sSup>
          <m:sSupPr>
            <m:ctrlPr>
              <w:rPr>
                <w:rFonts w:ascii="Cambria Math" w:hAnsi="Cambria Math" w:cs="Times New Roman"/>
                <w:i/>
                <w:lang w:eastAsia="zh-CN"/>
              </w:rPr>
            </m:ctrlPr>
          </m:sSupPr>
          <m:e>
            <m:sSup>
              <m:sSupPr>
                <m:ctrlPr>
                  <w:rPr>
                    <w:rFonts w:ascii="Cambria Math" w:hAnsi="Cambria Math" w:cs="Times New Roman"/>
                    <w:i/>
                    <w:lang w:eastAsia="zh-CN"/>
                  </w:rPr>
                </m:ctrlPr>
              </m:sSupPr>
              <m:e>
                <m:r>
                  <m:rPr/>
                  <w:rPr>
                    <w:rFonts w:ascii="Cambria Math" w:hAnsi="Cambria Math" w:cs="Times New Roman"/>
                    <w:lang w:eastAsia="zh-CN"/>
                  </w:rPr>
                  <m:t>O</m:t>
                </m:r>
                <m:ctrlPr>
                  <w:rPr>
                    <w:rFonts w:ascii="Cambria Math" w:hAnsi="Cambria Math" w:cs="Times New Roman"/>
                    <w:i/>
                    <w:lang w:eastAsia="zh-CN"/>
                  </w:rPr>
                </m:ctrlPr>
              </m:e>
              <m:sup>
                <m:r>
                  <m:rPr/>
                  <w:rPr>
                    <w:rFonts w:ascii="Cambria Math" w:hAnsi="Cambria Math" w:cs="Times New Roman"/>
                    <w:lang w:eastAsia="zh-CN"/>
                  </w:rPr>
                  <m:t>CG−UCI</m:t>
                </m:r>
                <m:ctrlPr>
                  <w:rPr>
                    <w:rFonts w:ascii="Cambria Math" w:hAnsi="Cambria Math" w:cs="Times New Roman"/>
                    <w:i/>
                    <w:lang w:eastAsia="zh-CN"/>
                  </w:rPr>
                </m:ctrlPr>
              </m:sup>
            </m:sSup>
            <m:r>
              <m:rPr/>
              <w:rPr>
                <w:rFonts w:ascii="Cambria Math" w:hAnsi="Cambria Math" w:cs="Times New Roman"/>
                <w:lang w:eastAsia="zh-CN"/>
              </w:rPr>
              <m:t>+O</m:t>
            </m:r>
            <m:ctrlPr>
              <w:rPr>
                <w:rFonts w:ascii="Cambria Math" w:hAnsi="Cambria Math" w:cs="Times New Roman"/>
                <w:i/>
                <w:lang w:eastAsia="zh-CN"/>
              </w:rPr>
            </m:ctrlPr>
          </m:e>
          <m:sup>
            <m:r>
              <m:rPr/>
              <w:rPr>
                <w:rFonts w:ascii="Cambria Math" w:hAnsi="Cambria Math" w:cs="Times New Roman"/>
                <w:lang w:eastAsia="zh-CN"/>
              </w:rPr>
              <m:t>ACK</m:t>
            </m:r>
            <m:ctrlPr>
              <w:rPr>
                <w:rFonts w:ascii="Cambria Math" w:hAnsi="Cambria Math" w:cs="Times New Roman"/>
                <w:i/>
                <w:lang w:eastAsia="zh-CN"/>
              </w:rPr>
            </m:ctrlPr>
          </m:sup>
        </m:sSup>
      </m:oMath>
      <w:r>
        <w:rPr>
          <w:rFonts w:ascii="Times New Roman" w:hAnsi="Times New Roman" w:cs="Times New Roman"/>
          <w:lang w:eastAsia="zh-CN"/>
        </w:rPr>
        <w:t>.</w:t>
      </w:r>
    </w:p>
    <w:p>
      <w:pPr>
        <w:pStyle w:val="92"/>
        <w:rPr>
          <w:rFonts w:cs="Times New Roman"/>
          <w:lang w:eastAsia="zh-CN"/>
        </w:rPr>
      </w:pPr>
      <w:r>
        <w:rPr>
          <w:rFonts w:cs="Times New Roman"/>
          <w:lang w:eastAsia="zh-CN"/>
        </w:rPr>
        <w:t>-</w:t>
      </w:r>
      <w:r>
        <w:rPr>
          <w:rFonts w:cs="Times New Roman"/>
          <w:lang w:eastAsia="zh-CN"/>
        </w:rPr>
        <w:tab/>
      </w:r>
      <w:r>
        <w:rPr>
          <w:rFonts w:cs="Times New Roman"/>
          <w:lang w:eastAsia="zh-CN"/>
        </w:rPr>
        <w:t>The CG-UCI bits are mapped to the UCI bit sequence</w:t>
      </w:r>
      <m:oMath>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m:sty m:val="p"/>
              </m:rPr>
              <w:rPr>
                <w:rFonts w:ascii="Cambria Math" w:hAnsi="Cambria Math" w:cs="Times New Roman"/>
              </w:rPr>
              <m:t>0</m:t>
            </m:r>
            <m:ctrlPr>
              <w:rPr>
                <w:rFonts w:ascii="Cambria Math" w:hAnsi="Cambria Math" w:cs="Times New Roman"/>
              </w:rPr>
            </m:ctrlPr>
          </m:sub>
        </m:sSub>
        <m:r>
          <m:rPr>
            <m:sty m:val="p"/>
          </m:rPr>
          <w:rPr>
            <w:rFonts w:ascii="Cambria Math" w:hAnsi="Cambria Math" w:cs="Times New Roman"/>
          </w:rPr>
          <m:t xml:space="preserve">,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m:sty m:val="p"/>
              </m:rPr>
              <w:rPr>
                <w:rFonts w:ascii="Cambria Math" w:hAnsi="Cambria Math" w:cs="Times New Roman"/>
              </w:rPr>
              <m:t>1</m:t>
            </m:r>
            <m:ctrlPr>
              <w:rPr>
                <w:rFonts w:ascii="Cambria Math" w:hAnsi="Cambria Math" w:cs="Times New Roman"/>
              </w:rPr>
            </m:ctrlPr>
          </m:sub>
        </m:sSub>
        <m:r>
          <m:rPr>
            <m:sty m:val="p"/>
          </m:rPr>
          <w:rPr>
            <w:rFonts w:ascii="Cambria Math" w:hAnsi="Cambria Math" w:cs="Times New Roman"/>
          </w:rPr>
          <m:t xml:space="preserve">,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m:sty m:val="p"/>
              </m:rPr>
              <w:rPr>
                <w:rFonts w:ascii="Cambria Math" w:hAnsi="Cambria Math" w:cs="Times New Roman"/>
              </w:rPr>
              <m:t>2</m:t>
            </m:r>
            <m:ctrlPr>
              <w:rPr>
                <w:rFonts w:ascii="Cambria Math" w:hAnsi="Cambria Math" w:cs="Times New Roman"/>
              </w:rPr>
            </m:ctrlPr>
          </m:sub>
        </m:sSub>
        <m:r>
          <m:rPr>
            <m:sty m:val="p"/>
          </m:rPr>
          <w:rPr>
            <w:rFonts w:ascii="Cambria Math" w:hAnsi="Cambria Math" w:cs="Times New Roman"/>
          </w:rPr>
          <m:t xml:space="preserve">,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m:sty m:val="p"/>
              </m:rPr>
              <w:rPr>
                <w:rFonts w:ascii="Cambria Math" w:hAnsi="Cambria Math" w:cs="Times New Roman"/>
              </w:rPr>
              <m:t>3</m:t>
            </m:r>
            <m:ctrlPr>
              <w:rPr>
                <w:rFonts w:ascii="Cambria Math" w:hAnsi="Cambria Math" w:cs="Times New Roman"/>
              </w:rPr>
            </m:ctrlPr>
          </m:sub>
        </m:sSub>
        <m:r>
          <m:rPr>
            <m:sty m:val="p"/>
          </m:rPr>
          <w:rPr>
            <w:rFonts w:ascii="Cambria Math" w:hAnsi="Cambria Math" w:cs="Times New Roman"/>
          </w:rPr>
          <m:t>,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sSup>
              <m:sSupPr>
                <m:ctrlPr>
                  <w:rPr>
                    <w:rFonts w:ascii="Cambria Math" w:hAnsi="Cambria Math" w:cs="Times New Roman"/>
                  </w:rPr>
                </m:ctrlPr>
              </m:sSupPr>
              <m:e>
                <m:r>
                  <m:rPr/>
                  <w:rPr>
                    <w:rFonts w:ascii="Cambria Math" w:hAnsi="Cambria Math" w:cs="Times New Roman"/>
                  </w:rPr>
                  <m:t>O</m:t>
                </m:r>
                <m:ctrlPr>
                  <w:rPr>
                    <w:rFonts w:ascii="Cambria Math" w:hAnsi="Cambria Math" w:cs="Times New Roman"/>
                  </w:rPr>
                </m:ctrlPr>
              </m:e>
              <m:sup>
                <m:r>
                  <m:rPr>
                    <m:sty m:val="p"/>
                  </m:rPr>
                  <w:rPr>
                    <w:rFonts w:ascii="Cambria Math" w:hAnsi="Cambria Math" w:cs="Times New Roman"/>
                  </w:rPr>
                  <m:t>CG−UCI</m:t>
                </m:r>
                <m:ctrlPr>
                  <w:rPr>
                    <w:rFonts w:ascii="Cambria Math" w:hAnsi="Cambria Math" w:cs="Times New Roman"/>
                  </w:rPr>
                </m:ctrlPr>
              </m:sup>
            </m:sSup>
            <m:r>
              <m:rPr>
                <m:sty m:val="p"/>
              </m:rPr>
              <w:rPr>
                <w:rFonts w:ascii="Cambria Math" w:hAnsi="Cambria Math" w:cs="Times New Roman"/>
              </w:rPr>
              <m:t>−1</m:t>
            </m:r>
            <m:ctrlPr>
              <w:rPr>
                <w:rFonts w:ascii="Cambria Math" w:hAnsi="Cambria Math" w:cs="Times New Roman"/>
              </w:rPr>
            </m:ctrlPr>
          </m:sub>
        </m:sSub>
        <m:r>
          <m:rPr>
            <m:sty m:val="p"/>
          </m:rPr>
          <w:rPr>
            <w:rFonts w:ascii="Cambria Math" w:hAnsi="Cambria Math" w:cs="Times New Roman"/>
            <w:lang w:eastAsia="zh-CN"/>
          </w:rPr>
          <m:t xml:space="preserve"> </m:t>
        </m:r>
      </m:oMath>
      <w:r>
        <w:rPr>
          <w:rFonts w:cs="Times New Roman"/>
          <w:lang w:eastAsia="zh-CN"/>
        </w:rPr>
        <w:t xml:space="preserve">, where </w:t>
      </w:r>
      <m:oMath>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w:rPr>
                <w:rFonts w:ascii="Cambria Math" w:hAnsi="Cambria Math" w:cs="Times New Roman"/>
              </w:rPr>
              <m:t>i</m:t>
            </m:r>
            <m:ctrlPr>
              <w:rPr>
                <w:rFonts w:ascii="Cambria Math" w:hAnsi="Cambria Math" w:cs="Times New Roman"/>
              </w:rPr>
            </m:ctrlPr>
          </m:sub>
        </m:sSub>
        <m:r>
          <m:rPr>
            <m:sty m:val="p"/>
          </m:rPr>
          <w:rPr>
            <w:rFonts w:ascii="Cambria Math" w:hAnsi="Cambria Math" w:cs="Times New Roman"/>
          </w:rPr>
          <m:t>=</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w:rPr>
                <w:rFonts w:ascii="Cambria Math" w:hAnsi="Cambria Math" w:cs="Times New Roman"/>
                <w:lang w:eastAsia="zh-CN"/>
              </w:rPr>
              <m:t>i</m:t>
            </m:r>
            <m:ctrlPr>
              <w:rPr>
                <w:rFonts w:ascii="Cambria Math" w:hAnsi="Cambria Math" w:cs="Times New Roman"/>
                <w:lang w:eastAsia="zh-CN"/>
              </w:rPr>
            </m:ctrlPr>
          </m:sub>
          <m:sup>
            <m:r>
              <m:rPr/>
              <w:rPr>
                <w:rFonts w:ascii="Cambria Math" w:hAnsi="Cambria Math" w:cs="Times New Roman"/>
                <w:lang w:eastAsia="zh-CN"/>
              </w:rPr>
              <m:t>CG</m:t>
            </m:r>
            <m:r>
              <m:rPr>
                <m:sty m:val="p"/>
              </m:rPr>
              <w:rPr>
                <w:rFonts w:ascii="Cambria Math" w:hAnsi="Cambria Math" w:cs="Times New Roman"/>
                <w:lang w:eastAsia="zh-CN"/>
              </w:rPr>
              <m:t>−</m:t>
            </m:r>
            <m:r>
              <m:rPr/>
              <w:rPr>
                <w:rFonts w:ascii="Cambria Math" w:hAnsi="Cambria Math" w:cs="Times New Roman"/>
                <w:lang w:eastAsia="zh-CN"/>
              </w:rPr>
              <m:t>UCI</m:t>
            </m:r>
            <m:r>
              <m:rPr>
                <m:sty m:val="p"/>
              </m:rPr>
              <w:rPr>
                <w:rFonts w:ascii="Cambria Math" w:hAnsi="Cambria Math" w:cs="Times New Roman"/>
                <w:lang w:eastAsia="zh-CN"/>
              </w:rPr>
              <m:t xml:space="preserve"> </m:t>
            </m:r>
            <m:ctrlPr>
              <w:rPr>
                <w:rFonts w:ascii="Cambria Math" w:hAnsi="Cambria Math" w:cs="Times New Roman"/>
                <w:lang w:eastAsia="zh-CN"/>
              </w:rPr>
            </m:ctrlPr>
          </m:sup>
        </m:sSubSup>
      </m:oMath>
      <w:r>
        <w:rPr>
          <w:rFonts w:cs="Times New Roman"/>
          <w:lang w:eastAsia="zh-CN"/>
        </w:rPr>
        <w:t xml:space="preserve">for </w:t>
      </w:r>
      <m:oMath>
        <m:r>
          <m:rPr/>
          <w:rPr>
            <w:rFonts w:ascii="Cambria Math" w:hAnsi="Cambria Math" w:cs="Times New Roman"/>
            <w:lang w:eastAsia="zh-CN"/>
          </w:rPr>
          <m:t>i</m:t>
        </m:r>
        <m:r>
          <m:rPr>
            <m:sty m:val="p"/>
          </m:rPr>
          <w:rPr>
            <w:rFonts w:ascii="Cambria Math" w:hAnsi="Cambria Math" w:cs="Times New Roman"/>
            <w:lang w:eastAsia="zh-CN"/>
          </w:rPr>
          <m:t xml:space="preserve">=0,1, …, </m:t>
        </m:r>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w:rPr>
                <w:rFonts w:ascii="Cambria Math" w:hAnsi="Cambria Math" w:cs="Times New Roman"/>
                <w:lang w:eastAsia="zh-CN"/>
              </w:rPr>
              <m:t>CG</m:t>
            </m:r>
            <m:r>
              <m:rPr>
                <m:sty m:val="p"/>
              </m:rPr>
              <w:rPr>
                <w:rFonts w:ascii="Cambria Math" w:hAnsi="Cambria Math" w:cs="Times New Roman"/>
                <w:lang w:eastAsia="zh-CN"/>
              </w:rPr>
              <m:t>−</m:t>
            </m:r>
            <m:r>
              <m:rPr/>
              <w:rPr>
                <w:rFonts w:ascii="Cambria Math" w:hAnsi="Cambria Math" w:cs="Times New Roman"/>
                <w:lang w:eastAsia="zh-CN"/>
              </w:rPr>
              <m:t>UCI</m:t>
            </m:r>
            <m:ctrlPr>
              <w:rPr>
                <w:rFonts w:ascii="Cambria Math" w:hAnsi="Cambria Math" w:cs="Times New Roman"/>
                <w:lang w:eastAsia="zh-CN"/>
              </w:rPr>
            </m:ctrlPr>
          </m:sup>
        </m:sSup>
        <m:r>
          <m:rPr>
            <m:sty m:val="p"/>
          </m:rPr>
          <w:rPr>
            <w:rFonts w:ascii="Cambria Math" w:hAnsi="Cambria Math" w:cs="Times New Roman"/>
            <w:lang w:eastAsia="zh-CN"/>
          </w:rPr>
          <m:t>−1</m:t>
        </m:r>
      </m:oMath>
      <w:r>
        <w:rPr>
          <w:rFonts w:cs="Times New Roman"/>
          <w:lang w:eastAsia="zh-CN"/>
        </w:rPr>
        <w:t xml:space="preserve">. The CG-UCI bit sequence </w:t>
      </w:r>
      <m:oMath>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m:sty m:val="p"/>
              </m:rPr>
              <w:rPr>
                <w:rFonts w:ascii="Cambria Math" w:hAnsi="Cambria Math" w:cs="Times New Roman"/>
                <w:lang w:eastAsia="zh-CN"/>
              </w:rPr>
              <m:t>0</m:t>
            </m:r>
            <m:ctrlPr>
              <w:rPr>
                <w:rFonts w:ascii="Cambria Math" w:hAnsi="Cambria Math" w:cs="Times New Roman"/>
                <w:lang w:eastAsia="zh-CN"/>
              </w:rPr>
            </m:ctrlPr>
          </m:sub>
          <m:sup>
            <m:r>
              <m:rPr>
                <m:sty m:val="p"/>
              </m:rPr>
              <w:rPr>
                <w:rFonts w:ascii="Cambria Math" w:hAnsi="Cambria Math" w:cs="Times New Roman"/>
                <w:lang w:eastAsia="zh-CN"/>
              </w:rPr>
              <m:t>CG−UCI</m:t>
            </m:r>
            <m:ctrlPr>
              <w:rPr>
                <w:rFonts w:ascii="Cambria Math" w:hAnsi="Cambria Math" w:cs="Times New Roman"/>
                <w:lang w:eastAsia="zh-CN"/>
              </w:rPr>
            </m:ctrlPr>
          </m:sup>
        </m:sSubSup>
        <m:r>
          <m:rPr>
            <m:sty m:val="p"/>
          </m:rPr>
          <w:rPr>
            <w:rFonts w:ascii="Cambria Math" w:hAnsi="Cambria Math" w:cs="Times New Roman"/>
            <w:lang w:eastAsia="zh-CN"/>
          </w:rPr>
          <m:t xml:space="preserve">, </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m:sty m:val="p"/>
              </m:rPr>
              <w:rPr>
                <w:rFonts w:ascii="Cambria Math" w:hAnsi="Cambria Math" w:cs="Times New Roman"/>
                <w:lang w:eastAsia="zh-CN"/>
              </w:rPr>
              <m:t>1</m:t>
            </m:r>
            <m:ctrlPr>
              <w:rPr>
                <w:rFonts w:ascii="Cambria Math" w:hAnsi="Cambria Math" w:cs="Times New Roman"/>
                <w:lang w:eastAsia="zh-CN"/>
              </w:rPr>
            </m:ctrlPr>
          </m:sub>
          <m:sup>
            <m:r>
              <m:rPr>
                <m:sty m:val="p"/>
              </m:rPr>
              <w:rPr>
                <w:rFonts w:ascii="Cambria Math" w:hAnsi="Cambria Math" w:cs="Times New Roman"/>
                <w:lang w:eastAsia="zh-CN"/>
              </w:rPr>
              <m:t>CG−UCI</m:t>
            </m:r>
            <m:ctrlPr>
              <w:rPr>
                <w:rFonts w:ascii="Cambria Math" w:hAnsi="Cambria Math" w:cs="Times New Roman"/>
                <w:lang w:eastAsia="zh-CN"/>
              </w:rPr>
            </m:ctrlPr>
          </m:sup>
        </m:sSubSup>
        <m:r>
          <m:rPr>
            <m:sty m:val="p"/>
          </m:rPr>
          <w:rPr>
            <w:rFonts w:ascii="Cambria Math" w:hAnsi="Cambria Math" w:cs="Times New Roman"/>
            <w:lang w:eastAsia="zh-CN"/>
          </w:rPr>
          <m:t xml:space="preserve">, …, </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w:rPr>
                    <w:rFonts w:ascii="Cambria Math" w:hAnsi="Cambria Math" w:cs="Times New Roman"/>
                    <w:lang w:eastAsia="zh-CN"/>
                  </w:rPr>
                  <m:t>CG</m:t>
                </m:r>
                <m:r>
                  <m:rPr>
                    <m:sty m:val="p"/>
                  </m:rPr>
                  <w:rPr>
                    <w:rFonts w:ascii="Cambria Math" w:hAnsi="Cambria Math" w:cs="Times New Roman"/>
                    <w:lang w:eastAsia="zh-CN"/>
                  </w:rPr>
                  <m:t>−</m:t>
                </m:r>
                <m:r>
                  <m:rPr/>
                  <w:rPr>
                    <w:rFonts w:ascii="Cambria Math" w:hAnsi="Cambria Math" w:cs="Times New Roman"/>
                    <w:lang w:eastAsia="zh-CN"/>
                  </w:rPr>
                  <m:t>UCI</m:t>
                </m:r>
                <m:ctrlPr>
                  <w:rPr>
                    <w:rFonts w:ascii="Cambria Math" w:hAnsi="Cambria Math" w:cs="Times New Roman"/>
                    <w:lang w:eastAsia="zh-CN"/>
                  </w:rPr>
                </m:ctrlPr>
              </m:sup>
            </m:sSup>
            <m:r>
              <m:rPr>
                <m:sty m:val="p"/>
              </m:rPr>
              <w:rPr>
                <w:rFonts w:ascii="Cambria Math" w:hAnsi="Cambria Math" w:cs="Times New Roman"/>
                <w:lang w:eastAsia="zh-CN"/>
              </w:rPr>
              <m:t>−1</m:t>
            </m:r>
            <m:ctrlPr>
              <w:rPr>
                <w:rFonts w:ascii="Cambria Math" w:hAnsi="Cambria Math" w:cs="Times New Roman"/>
                <w:lang w:eastAsia="zh-CN"/>
              </w:rPr>
            </m:ctrlPr>
          </m:sub>
          <m:sup>
            <m:r>
              <m:rPr>
                <m:sty m:val="p"/>
              </m:rPr>
              <w:rPr>
                <w:rFonts w:ascii="Cambria Math" w:hAnsi="Cambria Math" w:cs="Times New Roman"/>
                <w:lang w:eastAsia="zh-CN"/>
              </w:rPr>
              <m:t>CG−UCI</m:t>
            </m:r>
            <m:ctrlPr>
              <w:rPr>
                <w:rFonts w:ascii="Cambria Math" w:hAnsi="Cambria Math" w:cs="Times New Roman"/>
                <w:lang w:eastAsia="zh-CN"/>
              </w:rPr>
            </m:ctrlPr>
          </m:sup>
        </m:sSubSup>
      </m:oMath>
      <w:r>
        <w:rPr>
          <w:rFonts w:cs="Times New Roman"/>
          <w:lang w:eastAsia="zh-CN"/>
        </w:rPr>
        <w:t xml:space="preserve"> is given by Table</w:t>
      </w:r>
      <w:r>
        <w:rPr>
          <w:rFonts w:cs="Times New Roman" w:eastAsiaTheme="minorEastAsia"/>
        </w:rPr>
        <w:t xml:space="preserve"> </w:t>
      </w:r>
      <w:r>
        <w:rPr>
          <w:rFonts w:cs="Times New Roman"/>
          <w:lang w:eastAsia="zh-CN"/>
        </w:rPr>
        <w:t>6.3.2.1.3</w:t>
      </w:r>
      <w:r>
        <w:rPr>
          <w:rFonts w:cs="Times New Roman" w:eastAsiaTheme="minorEastAsia"/>
        </w:rPr>
        <w:t>-1</w:t>
      </w:r>
      <w:r>
        <w:rPr>
          <w:rFonts w:cs="Times New Roman" w:eastAsiaTheme="minorEastAsia"/>
          <w:lang w:eastAsia="zh-CN"/>
        </w:rPr>
        <w:t xml:space="preserve"> mapped in the order from upper part to lower part, and </w:t>
      </w:r>
      <m:oMath>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m:sty m:val="p"/>
              </m:rPr>
              <w:rPr>
                <w:rFonts w:ascii="Cambria Math" w:hAnsi="Cambria Math" w:cs="Times New Roman"/>
                <w:lang w:eastAsia="zh-CN"/>
              </w:rPr>
              <m:t>CG−UCI</m:t>
            </m:r>
            <m:ctrlPr>
              <w:rPr>
                <w:rFonts w:ascii="Cambria Math" w:hAnsi="Cambria Math" w:cs="Times New Roman"/>
                <w:lang w:eastAsia="zh-CN"/>
              </w:rPr>
            </m:ctrlPr>
          </m:sup>
        </m:sSup>
      </m:oMath>
      <w:r>
        <w:rPr>
          <w:rFonts w:cs="Times New Roman"/>
          <w:lang w:eastAsia="zh-CN"/>
        </w:rPr>
        <w:t xml:space="preserve"> is number of CG-UCI bits;</w:t>
      </w:r>
    </w:p>
    <w:p>
      <w:pPr>
        <w:pStyle w:val="92"/>
        <w:rPr>
          <w:rFonts w:cs="Times New Roman"/>
          <w:lang w:eastAsia="zh-CN"/>
        </w:rPr>
      </w:pPr>
      <w:r>
        <w:rPr>
          <w:rFonts w:cs="Times New Roman"/>
          <w:lang w:eastAsia="zh-CN"/>
        </w:rPr>
        <w:t>-</w:t>
      </w:r>
      <w:r>
        <w:rPr>
          <w:rFonts w:cs="Times New Roman"/>
          <w:lang w:eastAsia="zh-CN"/>
        </w:rPr>
        <w:tab/>
      </w:r>
      <w:r>
        <w:rPr>
          <w:rFonts w:cs="Times New Roman"/>
          <w:lang w:eastAsia="zh-CN"/>
        </w:rPr>
        <w:t xml:space="preserve">The HARQ-ACK bits are mapped to the UCI bit sequence </w:t>
      </w:r>
      <m:oMath>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sSup>
              <m:sSupPr>
                <m:ctrlPr>
                  <w:rPr>
                    <w:rFonts w:ascii="Cambria Math" w:hAnsi="Cambria Math" w:cs="Times New Roman"/>
                  </w:rPr>
                </m:ctrlPr>
              </m:sSupPr>
              <m:e>
                <m:r>
                  <m:rPr/>
                  <w:rPr>
                    <w:rFonts w:ascii="Cambria Math" w:hAnsi="Cambria Math" w:cs="Times New Roman"/>
                  </w:rPr>
                  <m:t>O</m:t>
                </m:r>
                <m:ctrlPr>
                  <w:rPr>
                    <w:rFonts w:ascii="Cambria Math" w:hAnsi="Cambria Math" w:cs="Times New Roman"/>
                  </w:rPr>
                </m:ctrlPr>
              </m:e>
              <m:sup>
                <m:r>
                  <m:rPr/>
                  <w:rPr>
                    <w:rFonts w:ascii="Cambria Math" w:hAnsi="Cambria Math" w:cs="Times New Roman"/>
                  </w:rPr>
                  <m:t>CG</m:t>
                </m:r>
                <m:r>
                  <m:rPr>
                    <m:sty m:val="p"/>
                  </m:rPr>
                  <w:rPr>
                    <w:rFonts w:ascii="Cambria Math" w:hAnsi="Cambria Math" w:cs="Times New Roman"/>
                  </w:rPr>
                  <m:t>−</m:t>
                </m:r>
                <m:r>
                  <m:rPr/>
                  <w:rPr>
                    <w:rFonts w:ascii="Cambria Math" w:hAnsi="Cambria Math" w:cs="Times New Roman"/>
                  </w:rPr>
                  <m:t>UCI</m:t>
                </m:r>
                <m:ctrlPr>
                  <w:rPr>
                    <w:rFonts w:ascii="Cambria Math" w:hAnsi="Cambria Math" w:cs="Times New Roman"/>
                  </w:rPr>
                </m:ctrlPr>
              </m:sup>
            </m:sSup>
            <m:ctrlPr>
              <w:rPr>
                <w:rFonts w:ascii="Cambria Math" w:hAnsi="Cambria Math" w:cs="Times New Roman"/>
              </w:rPr>
            </m:ctrlPr>
          </m:sub>
        </m:sSub>
        <m:r>
          <m:rPr>
            <m:sty m:val="p"/>
          </m:rPr>
          <w:rPr>
            <w:rFonts w:ascii="Cambria Math" w:hAnsi="Cambria Math" w:cs="Times New Roman"/>
          </w:rPr>
          <m:t xml:space="preserve">,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sSup>
              <m:sSupPr>
                <m:ctrlPr>
                  <w:rPr>
                    <w:rFonts w:ascii="Cambria Math" w:hAnsi="Cambria Math" w:cs="Times New Roman"/>
                  </w:rPr>
                </m:ctrlPr>
              </m:sSupPr>
              <m:e>
                <m:r>
                  <m:rPr/>
                  <w:rPr>
                    <w:rFonts w:ascii="Cambria Math" w:hAnsi="Cambria Math" w:cs="Times New Roman"/>
                  </w:rPr>
                  <m:t>O</m:t>
                </m:r>
                <m:ctrlPr>
                  <w:rPr>
                    <w:rFonts w:ascii="Cambria Math" w:hAnsi="Cambria Math" w:cs="Times New Roman"/>
                  </w:rPr>
                </m:ctrlPr>
              </m:e>
              <m:sup>
                <m:r>
                  <m:rPr/>
                  <w:rPr>
                    <w:rFonts w:ascii="Cambria Math" w:hAnsi="Cambria Math" w:cs="Times New Roman"/>
                  </w:rPr>
                  <m:t>CG</m:t>
                </m:r>
                <m:r>
                  <m:rPr>
                    <m:sty m:val="p"/>
                  </m:rPr>
                  <w:rPr>
                    <w:rFonts w:ascii="Cambria Math" w:hAnsi="Cambria Math" w:cs="Times New Roman"/>
                  </w:rPr>
                  <m:t>−</m:t>
                </m:r>
                <m:r>
                  <m:rPr/>
                  <w:rPr>
                    <w:rFonts w:ascii="Cambria Math" w:hAnsi="Cambria Math" w:cs="Times New Roman"/>
                  </w:rPr>
                  <m:t>UCI</m:t>
                </m:r>
                <m:ctrlPr>
                  <w:rPr>
                    <w:rFonts w:ascii="Cambria Math" w:hAnsi="Cambria Math" w:cs="Times New Roman"/>
                  </w:rPr>
                </m:ctrlPr>
              </m:sup>
            </m:sSup>
            <m:r>
              <m:rPr>
                <m:sty m:val="p"/>
              </m:rPr>
              <w:rPr>
                <w:rFonts w:ascii="Cambria Math" w:hAnsi="Cambria Math" w:cs="Times New Roman"/>
              </w:rPr>
              <m:t>+1</m:t>
            </m:r>
            <m:ctrlPr>
              <w:rPr>
                <w:rFonts w:ascii="Cambria Math" w:hAnsi="Cambria Math" w:cs="Times New Roman"/>
              </w:rPr>
            </m:ctrlPr>
          </m:sub>
        </m:sSub>
        <m:r>
          <m:rPr>
            <m:sty m:val="p"/>
          </m:rPr>
          <w:rPr>
            <w:rFonts w:ascii="Cambria Math" w:hAnsi="Cambria Math" w:cs="Times New Roman"/>
          </w:rPr>
          <m:t>,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sSup>
              <m:sSupPr>
                <m:ctrlPr>
                  <w:rPr>
                    <w:rFonts w:ascii="Cambria Math" w:hAnsi="Cambria Math" w:cs="Times New Roman"/>
                  </w:rPr>
                </m:ctrlPr>
              </m:sSupPr>
              <m:e>
                <m:sSup>
                  <m:sSupPr>
                    <m:ctrlPr>
                      <w:rPr>
                        <w:rFonts w:ascii="Cambria Math" w:hAnsi="Cambria Math" w:cs="Times New Roman"/>
                      </w:rPr>
                    </m:ctrlPr>
                  </m:sSupPr>
                  <m:e>
                    <m:r>
                      <m:rPr/>
                      <w:rPr>
                        <w:rFonts w:ascii="Cambria Math" w:hAnsi="Cambria Math" w:cs="Times New Roman"/>
                      </w:rPr>
                      <m:t>O</m:t>
                    </m:r>
                    <m:ctrlPr>
                      <w:rPr>
                        <w:rFonts w:ascii="Cambria Math" w:hAnsi="Cambria Math" w:cs="Times New Roman"/>
                      </w:rPr>
                    </m:ctrlPr>
                  </m:e>
                  <m:sup>
                    <m:r>
                      <m:rPr/>
                      <w:rPr>
                        <w:rFonts w:ascii="Cambria Math" w:hAnsi="Cambria Math" w:cs="Times New Roman"/>
                      </w:rPr>
                      <m:t>CG</m:t>
                    </m:r>
                    <m:r>
                      <m:rPr>
                        <m:sty m:val="p"/>
                      </m:rPr>
                      <w:rPr>
                        <w:rFonts w:ascii="Cambria Math" w:hAnsi="Cambria Math" w:cs="Times New Roman"/>
                      </w:rPr>
                      <m:t>−</m:t>
                    </m:r>
                    <m:r>
                      <m:rPr/>
                      <w:rPr>
                        <w:rFonts w:ascii="Cambria Math" w:hAnsi="Cambria Math" w:cs="Times New Roman"/>
                      </w:rPr>
                      <m:t>UCI</m:t>
                    </m:r>
                    <m:ctrlPr>
                      <w:rPr>
                        <w:rFonts w:ascii="Cambria Math" w:hAnsi="Cambria Math" w:cs="Times New Roman"/>
                      </w:rPr>
                    </m:ctrlPr>
                  </m:sup>
                </m:sSup>
                <m:r>
                  <m:rPr>
                    <m:sty m:val="p"/>
                  </m:rPr>
                  <w:rPr>
                    <w:rFonts w:ascii="Cambria Math" w:hAnsi="Cambria Math" w:cs="Times New Roman"/>
                  </w:rPr>
                  <m:t>+</m:t>
                </m:r>
                <m:r>
                  <m:rPr/>
                  <w:rPr>
                    <w:rFonts w:ascii="Cambria Math" w:hAnsi="Cambria Math" w:cs="Times New Roman"/>
                  </w:rPr>
                  <m:t>O</m:t>
                </m:r>
                <m:ctrlPr>
                  <w:rPr>
                    <w:rFonts w:ascii="Cambria Math" w:hAnsi="Cambria Math" w:cs="Times New Roman"/>
                  </w:rPr>
                </m:ctrlPr>
              </m:e>
              <m:sup>
                <m:r>
                  <m:rPr/>
                  <w:rPr>
                    <w:rFonts w:ascii="Cambria Math" w:hAnsi="Cambria Math" w:cs="Times New Roman"/>
                  </w:rPr>
                  <m:t>ACK</m:t>
                </m:r>
                <m:ctrlPr>
                  <w:rPr>
                    <w:rFonts w:ascii="Cambria Math" w:hAnsi="Cambria Math" w:cs="Times New Roman"/>
                  </w:rPr>
                </m:ctrlPr>
              </m:sup>
            </m:sSup>
            <m:r>
              <m:rPr>
                <m:sty m:val="p"/>
              </m:rPr>
              <w:rPr>
                <w:rFonts w:ascii="Cambria Math" w:hAnsi="Cambria Math" w:cs="Times New Roman"/>
              </w:rPr>
              <m:t>−1</m:t>
            </m:r>
            <m:ctrlPr>
              <w:rPr>
                <w:rFonts w:ascii="Cambria Math" w:hAnsi="Cambria Math" w:cs="Times New Roman"/>
              </w:rPr>
            </m:ctrlPr>
          </m:sub>
        </m:sSub>
      </m:oMath>
      <w:r>
        <w:rPr>
          <w:rFonts w:cs="Times New Roman"/>
          <w:lang w:eastAsia="zh-CN"/>
        </w:rPr>
        <w:t xml:space="preserve">, where </w:t>
      </w:r>
      <m:oMath>
        <m:sSub>
          <m:sSubPr>
            <m:ctrlPr>
              <w:rPr>
                <w:rFonts w:ascii="Cambria Math" w:hAnsi="Cambria Math" w:cs="Times New Roman"/>
                <w:lang w:eastAsia="zh-CN"/>
              </w:rPr>
            </m:ctrlPr>
          </m:sSubPr>
          <m:e>
            <m:r>
              <m:rPr/>
              <w:rPr>
                <w:rFonts w:ascii="Cambria Math" w:hAnsi="Cambria Math" w:cs="Times New Roman"/>
                <w:lang w:eastAsia="zh-CN"/>
              </w:rPr>
              <m:t>a</m:t>
            </m:r>
            <m:ctrlPr>
              <w:rPr>
                <w:rFonts w:ascii="Cambria Math" w:hAnsi="Cambria Math" w:cs="Times New Roman"/>
                <w:lang w:eastAsia="zh-CN"/>
              </w:rPr>
            </m:ctrlPr>
          </m:e>
          <m:sub>
            <m:r>
              <m:rPr/>
              <w:rPr>
                <w:rFonts w:ascii="Cambria Math" w:hAnsi="Cambria Math" w:cs="Times New Roman"/>
                <w:lang w:eastAsia="zh-CN"/>
              </w:rPr>
              <m:t>i</m:t>
            </m:r>
            <m:r>
              <m:rPr>
                <m:sty m:val="p"/>
              </m:rPr>
              <w:rPr>
                <w:rFonts w:ascii="Cambria Math" w:hAnsi="Cambria Math" w:cs="Times New Roman"/>
                <w:lang w:eastAsia="zh-CN"/>
              </w:rPr>
              <m:t>+</m:t>
            </m:r>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w:rPr>
                    <w:rFonts w:ascii="Cambria Math" w:hAnsi="Cambria Math" w:cs="Times New Roman"/>
                    <w:lang w:eastAsia="zh-CN"/>
                  </w:rPr>
                  <m:t>CG</m:t>
                </m:r>
                <m:r>
                  <m:rPr>
                    <m:sty m:val="p"/>
                  </m:rPr>
                  <w:rPr>
                    <w:rFonts w:ascii="Cambria Math" w:hAnsi="Cambria Math" w:cs="Times New Roman"/>
                    <w:lang w:eastAsia="zh-CN"/>
                  </w:rPr>
                  <m:t>−</m:t>
                </m:r>
                <m:r>
                  <m:rPr/>
                  <w:rPr>
                    <w:rFonts w:ascii="Cambria Math" w:hAnsi="Cambria Math" w:cs="Times New Roman"/>
                    <w:lang w:eastAsia="zh-CN"/>
                  </w:rPr>
                  <m:t>UCI</m:t>
                </m:r>
                <m:ctrlPr>
                  <w:rPr>
                    <w:rFonts w:ascii="Cambria Math" w:hAnsi="Cambria Math" w:cs="Times New Roman"/>
                    <w:lang w:eastAsia="zh-CN"/>
                  </w:rPr>
                </m:ctrlPr>
              </m:sup>
            </m:sSup>
            <m:ctrlPr>
              <w:rPr>
                <w:rFonts w:ascii="Cambria Math" w:hAnsi="Cambria Math" w:cs="Times New Roman"/>
                <w:lang w:eastAsia="zh-CN"/>
              </w:rPr>
            </m:ctrlPr>
          </m:sub>
        </m:sSub>
        <m:r>
          <m:rPr>
            <m:sty m:val="p"/>
          </m:rPr>
          <w:rPr>
            <w:rFonts w:ascii="Cambria Math" w:hAnsi="Cambria Math" w:cs="Times New Roman"/>
            <w:lang w:eastAsia="zh-CN"/>
          </w:rPr>
          <m:t>=</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w:rPr>
                <w:rFonts w:ascii="Cambria Math" w:hAnsi="Cambria Math" w:cs="Times New Roman"/>
                <w:lang w:eastAsia="zh-CN"/>
              </w:rPr>
              <m:t>i</m:t>
            </m:r>
            <m:ctrlPr>
              <w:rPr>
                <w:rFonts w:ascii="Cambria Math" w:hAnsi="Cambria Math" w:cs="Times New Roman"/>
                <w:lang w:eastAsia="zh-CN"/>
              </w:rPr>
            </m:ctrlPr>
          </m:sub>
          <m:sup>
            <m:r>
              <m:rPr>
                <m:sty m:val="p"/>
              </m:rPr>
              <w:rPr>
                <w:rFonts w:ascii="Cambria Math" w:hAnsi="Cambria Math" w:cs="Times New Roman"/>
                <w:lang w:eastAsia="zh-CN"/>
              </w:rPr>
              <m:t>ACK</m:t>
            </m:r>
            <m:ctrlPr>
              <w:rPr>
                <w:rFonts w:ascii="Cambria Math" w:hAnsi="Cambria Math" w:cs="Times New Roman"/>
                <w:lang w:eastAsia="zh-CN"/>
              </w:rPr>
            </m:ctrlPr>
          </m:sup>
        </m:sSubSup>
      </m:oMath>
      <w:r>
        <w:rPr>
          <w:rFonts w:cs="Times New Roman"/>
          <w:lang w:eastAsia="zh-CN"/>
        </w:rPr>
        <w:t xml:space="preserve"> for </w:t>
      </w:r>
      <m:oMath>
        <m:r>
          <m:rPr/>
          <w:rPr>
            <w:rFonts w:ascii="Cambria Math" w:hAnsi="Cambria Math" w:cs="Times New Roman"/>
            <w:lang w:eastAsia="zh-CN"/>
          </w:rPr>
          <m:t>i</m:t>
        </m:r>
        <m:r>
          <m:rPr>
            <m:sty m:val="p"/>
          </m:rPr>
          <w:rPr>
            <w:rFonts w:ascii="Cambria Math" w:hAnsi="Cambria Math" w:cs="Times New Roman"/>
            <w:lang w:eastAsia="zh-CN"/>
          </w:rPr>
          <m:t xml:space="preserve">=0,1, …, </m:t>
        </m:r>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m:sty m:val="p"/>
              </m:rPr>
              <w:rPr>
                <w:rFonts w:ascii="Cambria Math" w:hAnsi="Cambria Math" w:cs="Times New Roman"/>
                <w:lang w:eastAsia="zh-CN"/>
              </w:rPr>
              <m:t>ACK</m:t>
            </m:r>
            <m:ctrlPr>
              <w:rPr>
                <w:rFonts w:ascii="Cambria Math" w:hAnsi="Cambria Math" w:cs="Times New Roman"/>
                <w:lang w:eastAsia="zh-CN"/>
              </w:rPr>
            </m:ctrlPr>
          </m:sup>
        </m:sSup>
        <m:r>
          <m:rPr>
            <m:sty m:val="p"/>
          </m:rPr>
          <w:rPr>
            <w:rFonts w:ascii="Cambria Math" w:hAnsi="Cambria Math" w:cs="Times New Roman"/>
            <w:lang w:eastAsia="zh-CN"/>
          </w:rPr>
          <m:t>−1</m:t>
        </m:r>
      </m:oMath>
      <w:r>
        <w:rPr>
          <w:rFonts w:cs="Times New Roman"/>
          <w:lang w:eastAsia="zh-CN"/>
        </w:rPr>
        <w:t xml:space="preserve">. The HARQ-ACK bit sequence </w:t>
      </w:r>
      <m:oMath>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m:sty m:val="p"/>
              </m:rPr>
              <w:rPr>
                <w:rFonts w:ascii="Cambria Math" w:hAnsi="Cambria Math" w:cs="Times New Roman"/>
                <w:lang w:eastAsia="zh-CN"/>
              </w:rPr>
              <m:t>0</m:t>
            </m:r>
            <m:ctrlPr>
              <w:rPr>
                <w:rFonts w:ascii="Cambria Math" w:hAnsi="Cambria Math" w:cs="Times New Roman"/>
                <w:lang w:eastAsia="zh-CN"/>
              </w:rPr>
            </m:ctrlPr>
          </m:sub>
          <m:sup>
            <m:r>
              <m:rPr>
                <m:sty m:val="p"/>
              </m:rPr>
              <w:rPr>
                <w:rFonts w:ascii="Cambria Math" w:hAnsi="Cambria Math" w:cs="Times New Roman"/>
                <w:lang w:eastAsia="zh-CN"/>
              </w:rPr>
              <m:t>ACK</m:t>
            </m:r>
            <m:ctrlPr>
              <w:rPr>
                <w:rFonts w:ascii="Cambria Math" w:hAnsi="Cambria Math" w:cs="Times New Roman"/>
                <w:lang w:eastAsia="zh-CN"/>
              </w:rPr>
            </m:ctrlPr>
          </m:sup>
        </m:sSubSup>
        <m:r>
          <m:rPr>
            <m:sty m:val="p"/>
          </m:rPr>
          <w:rPr>
            <w:rFonts w:ascii="Cambria Math" w:hAnsi="Cambria Math" w:cs="Times New Roman"/>
            <w:lang w:eastAsia="zh-CN"/>
          </w:rPr>
          <m:t xml:space="preserve">, </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m:sty m:val="p"/>
              </m:rPr>
              <w:rPr>
                <w:rFonts w:ascii="Cambria Math" w:hAnsi="Cambria Math" w:cs="Times New Roman"/>
                <w:lang w:eastAsia="zh-CN"/>
              </w:rPr>
              <m:t>1</m:t>
            </m:r>
            <m:ctrlPr>
              <w:rPr>
                <w:rFonts w:ascii="Cambria Math" w:hAnsi="Cambria Math" w:cs="Times New Roman"/>
                <w:lang w:eastAsia="zh-CN"/>
              </w:rPr>
            </m:ctrlPr>
          </m:sub>
          <m:sup>
            <m:r>
              <m:rPr>
                <m:sty m:val="p"/>
              </m:rPr>
              <w:rPr>
                <w:rFonts w:ascii="Cambria Math" w:hAnsi="Cambria Math" w:cs="Times New Roman"/>
                <w:lang w:eastAsia="zh-CN"/>
              </w:rPr>
              <m:t>ACK</m:t>
            </m:r>
            <m:ctrlPr>
              <w:rPr>
                <w:rFonts w:ascii="Cambria Math" w:hAnsi="Cambria Math" w:cs="Times New Roman"/>
                <w:lang w:eastAsia="zh-CN"/>
              </w:rPr>
            </m:ctrlPr>
          </m:sup>
        </m:sSubSup>
        <m:r>
          <m:rPr>
            <m:sty m:val="p"/>
          </m:rPr>
          <w:rPr>
            <w:rFonts w:ascii="Cambria Math" w:hAnsi="Cambria Math" w:cs="Times New Roman"/>
            <w:lang w:eastAsia="zh-CN"/>
          </w:rPr>
          <m:t xml:space="preserve">, …, </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w:rPr>
                    <w:rFonts w:ascii="Cambria Math" w:hAnsi="Cambria Math" w:cs="Times New Roman"/>
                    <w:lang w:eastAsia="zh-CN"/>
                  </w:rPr>
                  <m:t>ACK</m:t>
                </m:r>
                <m:ctrlPr>
                  <w:rPr>
                    <w:rFonts w:ascii="Cambria Math" w:hAnsi="Cambria Math" w:cs="Times New Roman"/>
                    <w:lang w:eastAsia="zh-CN"/>
                  </w:rPr>
                </m:ctrlPr>
              </m:sup>
            </m:sSup>
            <m:r>
              <m:rPr>
                <m:sty m:val="p"/>
              </m:rPr>
              <w:rPr>
                <w:rFonts w:ascii="Cambria Math" w:hAnsi="Cambria Math" w:cs="Times New Roman"/>
                <w:lang w:eastAsia="zh-CN"/>
              </w:rPr>
              <m:t>−1</m:t>
            </m:r>
            <m:ctrlPr>
              <w:rPr>
                <w:rFonts w:ascii="Cambria Math" w:hAnsi="Cambria Math" w:cs="Times New Roman"/>
                <w:lang w:eastAsia="zh-CN"/>
              </w:rPr>
            </m:ctrlPr>
          </m:sub>
          <m:sup>
            <m:r>
              <m:rPr>
                <m:sty m:val="p"/>
              </m:rPr>
              <w:rPr>
                <w:rFonts w:ascii="Cambria Math" w:hAnsi="Cambria Math" w:cs="Times New Roman"/>
                <w:lang w:eastAsia="zh-CN"/>
              </w:rPr>
              <m:t>ACK</m:t>
            </m:r>
            <m:ctrlPr>
              <w:rPr>
                <w:rFonts w:ascii="Cambria Math" w:hAnsi="Cambria Math" w:cs="Times New Roman"/>
                <w:lang w:eastAsia="zh-CN"/>
              </w:rPr>
            </m:ctrlPr>
          </m:sup>
        </m:sSubSup>
      </m:oMath>
      <w:r>
        <w:rPr>
          <w:rFonts w:cs="Times New Roman"/>
          <w:lang w:eastAsia="zh-CN"/>
        </w:rPr>
        <w:t xml:space="preserve"> is given by Clause 9.1 of [5, TS38.213], and </w:t>
      </w:r>
      <m:oMath>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m:sty m:val="p"/>
              </m:rPr>
              <w:rPr>
                <w:rFonts w:ascii="Cambria Math" w:hAnsi="Cambria Math" w:cs="Times New Roman"/>
                <w:lang w:eastAsia="zh-CN"/>
              </w:rPr>
              <m:t>ACK</m:t>
            </m:r>
            <m:ctrlPr>
              <w:rPr>
                <w:rFonts w:ascii="Cambria Math" w:hAnsi="Cambria Math" w:cs="Times New Roman"/>
                <w:lang w:eastAsia="zh-CN"/>
              </w:rPr>
            </m:ctrlPr>
          </m:sup>
        </m:sSup>
      </m:oMath>
      <w:r>
        <w:rPr>
          <w:rFonts w:cs="Times New Roman"/>
          <w:lang w:eastAsia="zh-CN"/>
        </w:rPr>
        <w:t xml:space="preserve"> is number of HARQ-ACK bits.</w:t>
      </w:r>
    </w:p>
    <w:p>
      <w:pPr>
        <w:pStyle w:val="92"/>
        <w:ind w:left="0" w:firstLine="0"/>
        <w:rPr>
          <w:rFonts w:cs="Times New Roman"/>
          <w:lang w:eastAsia="zh-CN"/>
        </w:rPr>
      </w:pPr>
    </w:p>
    <w:p>
      <w:pPr>
        <w:pStyle w:val="92"/>
        <w:ind w:left="0" w:firstLine="0"/>
        <w:jc w:val="both"/>
        <w:rPr>
          <w:rFonts w:cs="Times New Roman"/>
          <w:lang w:eastAsia="zh-CN"/>
        </w:rPr>
      </w:pPr>
      <w:r>
        <w:rPr>
          <w:rFonts w:cs="Times New Roman"/>
          <w:lang w:eastAsia="zh-CN"/>
        </w:rPr>
        <w:t xml:space="preserve">However, as the UTO-UCI needn’t to carry HARQ-ID as CG-UCI, gNB does not need to obtain the HARQ-ID from the UTO-UCI, when the resource reserved for UCI is not enough, this will be caused HARQ-ACK will be dropped first, the latency for a corresponding PDSCH or others transmission will be increased, thus, the UCI bits sequence generate can be HARQ-ACK first, then UTO-UCI. </w:t>
      </w:r>
    </w:p>
    <w:p>
      <w:pPr>
        <w:pStyle w:val="92"/>
        <w:ind w:left="0" w:firstLine="0"/>
        <w:jc w:val="both"/>
        <w:rPr>
          <w:rFonts w:cs="Times New Roman"/>
          <w:lang w:eastAsia="zh-CN"/>
        </w:rPr>
      </w:pPr>
    </w:p>
    <w:p>
      <w:pPr>
        <w:pStyle w:val="92"/>
        <w:ind w:left="0" w:firstLine="0"/>
        <w:rPr>
          <w:rFonts w:cs="Times New Roman"/>
          <w:b/>
          <w:i/>
          <w:lang w:eastAsia="zh-CN"/>
        </w:rPr>
      </w:pPr>
      <w:r>
        <w:rPr>
          <w:rFonts w:cs="Times New Roman"/>
          <w:b/>
          <w:i/>
          <w:lang w:eastAsia="zh-CN"/>
        </w:rPr>
        <w:t>Proposal 7: UCI bits sequence generate can be HARQ-ACK first, then UTO-UCI.</w:t>
      </w:r>
    </w:p>
    <w:p>
      <w:pPr>
        <w:pStyle w:val="4"/>
        <w:numPr>
          <w:ilvl w:val="1"/>
          <w:numId w:val="32"/>
        </w:numPr>
        <w:rPr>
          <w:sz w:val="22"/>
          <w:szCs w:val="22"/>
        </w:rPr>
      </w:pPr>
      <w:r>
        <w:rPr>
          <w:sz w:val="22"/>
          <w:szCs w:val="22"/>
        </w:rPr>
        <w:t>Other enhancements on capacity performance for XR</w:t>
      </w:r>
    </w:p>
    <w:p>
      <w:pPr>
        <w:pStyle w:val="83"/>
        <w:numPr>
          <w:ilvl w:val="0"/>
          <w:numId w:val="23"/>
        </w:numPr>
        <w:jc w:val="both"/>
        <w:rPr>
          <w:rFonts w:ascii="Times New Roman" w:hAnsi="Times New Roman" w:cs="Times New Roman"/>
          <w:b/>
          <w:lang w:eastAsia="zh-CN"/>
        </w:rPr>
      </w:pPr>
      <w:r>
        <w:rPr>
          <w:rFonts w:ascii="Times New Roman" w:hAnsi="Times New Roman" w:cs="Times New Roman"/>
          <w:b/>
        </w:rPr>
        <w:t>Transmission pattern of CG within an integer periodicity</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lang w:eastAsia="zh-CN"/>
        </w:rPr>
        <w:t xml:space="preserve">Comparing with dynamic scheduling mechanism, scheduling time delay can also be decreased thanks to no SR and BSR procedure for CG. In addition, CG transmission mechanism can also reduce the overhead of DCI signaling. As a result, enhanced CG to support XR has been agreed in R-18. In Rel-17 RAN1 meetings, it was agreed that 60 frame per second (fps) is baseline for both DL and UL video stream and 30 fps, 90 fps as well as 120 fps can be also optionally evaluated, so CG transmission mechanism can be considered for periodic XR traffic. In current specification, the periodicity of CG can only be configured as: {1/7ms, 0.5ms ,1ms,…, 320ms, 640ms} for 15kHz, 0.5x {1/7ms,0.5ms, 1ms,…,1280ms} for 30kHz, 0.25x {1/7ms,0.5ms, 1ms, …,2560ms} for 60kHz, 0.125x {1/7ms,0.5ms, 1ms, …,5120ms} for 120kHz. As show in table 2. </w:t>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i/>
          <w:lang w:eastAsia="zh-CN"/>
        </w:rPr>
        <w:t>Table 2. ConfiguredGrantConfig</w:t>
      </w:r>
      <w:r>
        <w:rPr>
          <w:rFonts w:ascii="Times New Roman" w:hAnsi="Times New Roman" w:eastAsia="宋体" w:cs="Times New Roman"/>
          <w:lang w:eastAsia="zh-CN"/>
        </w:rPr>
        <w:t xml:space="preserve"> information element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ASN1START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TAG-CONFIGUREDGRANTCONFIG-START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ConfiguredGrantConfig ::=           SEQUENCE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frequencyHopping                    ENUMERATED {intraSlot, interSlot}                                       OPTIONAL,   -- Need S</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OPTIONAL,   -- Need R</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highlight w:val="green"/>
          <w:lang w:eastAsia="zh-CN"/>
        </w:rPr>
        <w:t>periodicity</w:t>
      </w:r>
      <w:r>
        <w:rPr>
          <w:rFonts w:ascii="Times New Roman" w:hAnsi="Times New Roman" w:eastAsia="宋体" w:cs="Times New Roman"/>
          <w:sz w:val="16"/>
          <w:szCs w:val="16"/>
          <w:lang w:eastAsia="zh-CN"/>
        </w:rPr>
        <w:t xml:space="preserve">                         ENUMERATED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sym2, sym7, sym1x14, sym2x14, sym4x14, sym5x14, sym8x14, sym10x14, sym16x14, sym20x14,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sym32x14, sym40x14, sym64x14, sym80x14, sym128x14, sym160x14, sym256x14, sym320x14, sym512x14,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sym640x14, sym1024x14, sym1280x14, sym2560x14, sym5120x14,</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sym6, sym1x12, sym2x12, sym4x12, sym5x12, sym8x12, sym10x12, sym16x12, sym20x12, sym32x12,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sym40x12, sym64x12, sym80x12, sym128x12, sym160x12, sym256x12, sym320x12, sym512x12, sym640x12,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sym1280x12, sym2560x12</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xml:space="preserve">    configuredGrantTimer                INTEGER (1..64)                                                         </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TAG-CONFIGUREDGRANTCONFIG-STOP</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sz w:val="16"/>
          <w:szCs w:val="16"/>
          <w:lang w:eastAsia="zh-CN"/>
        </w:rPr>
      </w:pPr>
      <w:r>
        <w:rPr>
          <w:rFonts w:ascii="Times New Roman" w:hAnsi="Times New Roman" w:eastAsia="宋体" w:cs="Times New Roman"/>
          <w:sz w:val="16"/>
          <w:szCs w:val="16"/>
          <w:lang w:eastAsia="zh-CN"/>
        </w:rPr>
        <w:t>-- ASN1STOP</w:t>
      </w:r>
    </w:p>
    <w:p>
      <w:pPr>
        <w:shd w:val="clear" w:color="auto" w:fill="E6E6E6"/>
        <w:overflowPunct w:val="0"/>
        <w:autoSpaceDE w:val="0"/>
        <w:autoSpaceDN w:val="0"/>
        <w:adjustRightInd w:val="0"/>
        <w:spacing w:after="0" w:line="240" w:lineRule="auto"/>
        <w:jc w:val="both"/>
        <w:textAlignment w:val="baseline"/>
        <w:rPr>
          <w:rFonts w:ascii="Times New Roman" w:hAnsi="Times New Roman" w:eastAsia="宋体" w:cs="Times New Roman"/>
          <w:lang w:eastAsia="zh-CN"/>
        </w:rPr>
      </w:pPr>
    </w:p>
    <w:p>
      <w:pPr>
        <w:spacing w:before="100" w:beforeAutospacing="1" w:after="100" w:afterAutospacing="1" w:line="257" w:lineRule="auto"/>
        <w:jc w:val="both"/>
        <w:rPr>
          <w:rFonts w:ascii="Times New Roman" w:hAnsi="Times New Roman" w:eastAsia="宋体" w:cs="Times New Roman"/>
          <w:color w:val="000000"/>
          <w:lang w:eastAsia="zh-CN"/>
        </w:rPr>
      </w:pPr>
      <w:r>
        <w:rPr>
          <w:rFonts w:ascii="Times New Roman" w:hAnsi="Times New Roman" w:eastAsia="宋体" w:cs="Times New Roman"/>
          <w:lang w:eastAsia="zh-CN"/>
        </w:rPr>
        <w:t xml:space="preserve">However, the periodicity for XR service is not an integer of a slot or symbol. </w:t>
      </w:r>
      <w:r>
        <w:rPr>
          <w:rFonts w:ascii="Times New Roman" w:hAnsi="Times New Roman" w:eastAsia="宋体" w:cs="Times New Roman"/>
          <w:color w:val="000000"/>
          <w:lang w:eastAsia="zh-CN"/>
        </w:rPr>
        <w:t>Therefore, it is not suitable to configure a CG periodicity to match with the XR UL traffic perfectly. If the periodicity of CG is configured to an integer number of slot or symbol, there will be a gap between XR packet arrival time and CG configuration.</w:t>
      </w:r>
    </w:p>
    <w:p>
      <w:pPr>
        <w:spacing w:before="120" w:after="120"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 xml:space="preserve">Observation 2：There is a gap between XR periodic UL traffic and CG configuration. </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lang w:eastAsia="zh-CN"/>
        </w:rPr>
        <w:t xml:space="preserve">To align with the periodicity of CG and XR traffic, when jitter is not considered for XR services, then UE and gNB know the arrival time of XR traffic according to the periodicity. A straightforward way is to introduce a set of non-integer CG periodicity for XR services (such as 8.33ms, 11.11ms, 16.66ms, 33.33 ms), however, non-integer periodicity is not matched with integer symbol or slot and the granularity of symbol or slot is the minimum time unit for data transmission in current specification. To solve the problem, another way can be considered, as show in Figure 2 (take 60 fps as an example), it can be obviously observed that the mismatch issue appears every three arrival intervals. In others words, within 50ms periodicity, there are three packets will be arrived, so pre-defined a fixed transmission pattern of CG within an integer periodicity for XR can be considered. </w:t>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lang w:eastAsia="zh-CN"/>
        </w:rPr>
        <w:drawing>
          <wp:inline distT="0" distB="0" distL="0" distR="0">
            <wp:extent cx="5115560" cy="1437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201253" cy="1461463"/>
                    </a:xfrm>
                    <a:prstGeom prst="rect">
                      <a:avLst/>
                    </a:prstGeom>
                  </pic:spPr>
                </pic:pic>
              </a:graphicData>
            </a:graphic>
          </wp:inline>
        </w:drawing>
      </w:r>
    </w:p>
    <w:p>
      <w:pPr>
        <w:spacing w:before="100" w:beforeAutospacing="1" w:line="256" w:lineRule="auto"/>
        <w:jc w:val="center"/>
        <w:rPr>
          <w:rFonts w:ascii="Times New Roman" w:hAnsi="Times New Roman" w:eastAsia="宋体" w:cs="Times New Roman"/>
          <w:lang w:eastAsia="zh-CN"/>
        </w:rPr>
      </w:pPr>
      <w:r>
        <w:rPr>
          <w:rFonts w:ascii="Times New Roman" w:hAnsi="Times New Roman" w:eastAsia="宋体" w:cs="Times New Roman"/>
          <w:lang w:eastAsia="zh-CN"/>
        </w:rPr>
        <w:t>Figure 2. Mismatch between DL traffic with 30 fps and CG/SPS with 32ms</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Proposal 8: A fixed transmission pattern of CG within an integer periodicity for XR can be considered.</w:t>
      </w:r>
    </w:p>
    <w:p>
      <w:pPr>
        <w:pStyle w:val="83"/>
        <w:numPr>
          <w:ilvl w:val="0"/>
          <w:numId w:val="23"/>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Additional TOs for CG configuration</w:t>
      </w:r>
    </w:p>
    <w:p>
      <w:pPr>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cs="Times New Roman"/>
          <w:color w:val="000000" w:themeColor="text1"/>
          <w:lang w:eastAsia="zh-CN"/>
          <w14:textFill>
            <w14:solidFill>
              <w14:schemeClr w14:val="tx1"/>
            </w14:solidFill>
          </w14:textFill>
        </w:rPr>
        <w:t xml:space="preserve">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the first TOs within a CG transmission, then UE can transmit a PUSCH on the following TOs within a CG configuration. However, when the XR traffic is arrived after the first TOs within CG transmission occasion, the remaining TOs within a CG configuration may not be enough to carry a packet whole, then scheduling delay will be caused for transmission the remaining portion of the packet if dynamic scheduling mechanism is used. To solve this problem, to enable UE to indicate several additional TOs after the end of configured TO within the CG period or activating more than one CG configurations </w:t>
      </w:r>
      <w:r>
        <w:rPr>
          <w:rFonts w:ascii="Times New Roman" w:hAnsi="Times New Roman" w:cs="Times New Roman"/>
          <w:color w:val="101214"/>
        </w:rPr>
        <w:t>simultaneous</w:t>
      </w:r>
      <w:r>
        <w:rPr>
          <w:rFonts w:ascii="Times New Roman" w:hAnsi="Times New Roman" w:cs="Times New Roman"/>
          <w:color w:val="000000" w:themeColor="text1"/>
          <w:lang w:eastAsia="zh-CN"/>
          <w14:textFill>
            <w14:solidFill>
              <w14:schemeClr w14:val="tx1"/>
            </w14:solidFill>
          </w14:textFill>
        </w:rPr>
        <w:t>ly similar as R-16 URLLC can be considered. When more than one CG configurations activation simultaneously for XR is adopt, as agreed in last RAN1 meeting [2], the UCI which used to indicate the un-used TOs within a CG configuration need to carry by CG-PUSCH, thus, there is no CG-UCI to indicate the un-used TOs within the CG configurations that are not chosen by the UE, this will be lead resource waste, to solve this issue, a CG-UCI can be enable to indicate un-used TOs within more than one CG configurations.</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9: Additional TOs after the end of the configured TO within a CG period and </w:t>
      </w:r>
      <w:r>
        <w:rPr>
          <w:rFonts w:ascii="Times New Roman" w:hAnsi="Times New Roman" w:cs="Times New Roman"/>
          <w:b/>
          <w:i/>
          <w:color w:val="000000" w:themeColor="text1"/>
          <w:lang w:eastAsia="zh-CN"/>
          <w14:textFill>
            <w14:solidFill>
              <w14:schemeClr w14:val="tx1"/>
            </w14:solidFill>
          </w14:textFill>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14:textFill>
            <w14:solidFill>
              <w14:schemeClr w14:val="tx1"/>
            </w14:solidFill>
          </w14:textFill>
        </w:rPr>
        <w:t>ly</w:t>
      </w:r>
      <w:r>
        <w:rPr>
          <w:rFonts w:ascii="Times New Roman" w:hAnsi="Times New Roman" w:cs="Times New Roman"/>
          <w:b/>
          <w:i/>
          <w:lang w:eastAsia="zh-CN"/>
        </w:rPr>
        <w:t xml:space="preserve">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10: When more than one CG configuration activation simultaneously, a CG-UCI to indicate un-used TOs within more than one CG configurations can be considered. </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In this contribution, the following observations and proposals have been made:</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26"/>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26"/>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26"/>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p>
      <w:pPr>
        <w:spacing w:after="0"/>
        <w:jc w:val="both"/>
        <w:rPr>
          <w:rFonts w:ascii="Times New Roman" w:hAnsi="Times New Roman" w:cs="Times New Roman"/>
          <w:b/>
          <w:i/>
          <w:szCs w:val="20"/>
          <w:lang w:eastAsia="ja-JP"/>
        </w:rPr>
      </w:pPr>
      <w:r>
        <w:rPr>
          <w:rFonts w:ascii="Times New Roman" w:hAnsi="Times New Roman" w:cs="Times New Roman"/>
          <w:b/>
          <w:i/>
          <w:szCs w:val="20"/>
          <w:lang w:eastAsia="ja-JP"/>
        </w:rPr>
        <w:t>Proposal 1: Follow the time domain resource mapping of Type A repetition can be used for multiple TOs within a CG configuration.</w:t>
      </w:r>
    </w:p>
    <w:p>
      <w:pPr>
        <w:numPr>
          <w:ilvl w:val="2"/>
          <w:numId w:val="28"/>
        </w:numPr>
        <w:spacing w:after="0" w:line="256" w:lineRule="auto"/>
        <w:rPr>
          <w:rFonts w:ascii="Times New Roman" w:hAnsi="Times New Roman" w:cs="Times New Roman"/>
          <w:b/>
          <w:i/>
          <w:lang w:eastAsia="ja-JP"/>
        </w:rPr>
      </w:pPr>
      <w:r>
        <w:rPr>
          <w:rFonts w:ascii="Times New Roman" w:hAnsi="Times New Roman" w:cs="Times New Roman"/>
          <w:b/>
          <w:i/>
          <w:lang w:eastAsia="ja-JP"/>
        </w:rPr>
        <w:t>N indicated by activation DCI</w:t>
      </w:r>
    </w:p>
    <w:p>
      <w:pPr>
        <w:numPr>
          <w:ilvl w:val="2"/>
          <w:numId w:val="28"/>
        </w:numPr>
        <w:spacing w:after="0" w:line="256" w:lineRule="auto"/>
        <w:rPr>
          <w:rFonts w:ascii="Times New Roman" w:hAnsi="Times New Roman" w:cs="Times New Roman"/>
          <w:b/>
          <w:i/>
          <w:lang w:eastAsia="ja-JP"/>
        </w:rPr>
      </w:pPr>
      <w:r>
        <w:rPr>
          <w:rFonts w:ascii="Times New Roman" w:hAnsi="Times New Roman" w:cs="Times New Roman"/>
          <w:b/>
          <w:i/>
          <w:lang w:eastAsia="ja-JP"/>
        </w:rPr>
        <w:t>Single SLIV is determined from TDRA</w:t>
      </w:r>
    </w:p>
    <w:p>
      <w:pPr>
        <w:numPr>
          <w:ilvl w:val="2"/>
          <w:numId w:val="28"/>
        </w:numPr>
        <w:spacing w:after="0" w:line="256" w:lineRule="auto"/>
        <w:rPr>
          <w:rFonts w:ascii="Times New Roman" w:hAnsi="Times New Roman" w:cs="Times New Roman"/>
          <w:b/>
          <w:i/>
          <w:lang w:eastAsia="ja-JP"/>
        </w:rPr>
      </w:pPr>
      <w:r>
        <w:rPr>
          <w:rFonts w:ascii="Times New Roman" w:hAnsi="Times New Roman" w:cs="Times New Roman"/>
          <w:b/>
          <w:i/>
          <w:lang w:eastAsia="ja-JP"/>
        </w:rPr>
        <w:t>The same SLIV in N PUSCH in consecutive slots per CG period</w:t>
      </w:r>
    </w:p>
    <w:p>
      <w:pPr>
        <w:adjustRightInd w:val="0"/>
        <w:snapToGrid w:val="0"/>
        <w:jc w:val="both"/>
        <w:rPr>
          <w:rFonts w:ascii="Times New Roman" w:hAnsi="Times New Roman" w:cs="Times New Roman"/>
          <w:b/>
          <w:i/>
          <w:lang w:eastAsia="zh-CN"/>
        </w:rPr>
      </w:pPr>
      <w:r>
        <w:rPr>
          <w:rFonts w:ascii="Times New Roman" w:hAnsi="Times New Roman" w:cs="Times New Roman"/>
          <w:b/>
          <w:i/>
          <w:lang w:eastAsia="zh-CN"/>
        </w:rPr>
        <w:t xml:space="preserve">Proposal 2: The number of multiple TOs within a CG configuration can be indicated by TDRA. </w:t>
      </w:r>
    </w:p>
    <w:p>
      <w:pPr>
        <w:jc w:val="both"/>
        <w:rPr>
          <w:rFonts w:ascii="Times New Roman" w:hAnsi="Times New Roman" w:cs="Times New Roman"/>
          <w:b/>
          <w:i/>
          <w:position w:val="-6"/>
        </w:rPr>
      </w:pPr>
      <w:r>
        <w:rPr>
          <w:rFonts w:ascii="Times New Roman" w:hAnsi="Times New Roman" w:cs="Times New Roman"/>
          <w:b/>
          <w:bCs/>
          <w:i/>
          <w:position w:val="-6"/>
        </w:rPr>
        <w:t xml:space="preserve">Proposal 3: </w:t>
      </w:r>
      <w:r>
        <w:rPr>
          <w:rFonts w:ascii="Times New Roman" w:hAnsi="Times New Roman" w:cs="Times New Roman"/>
          <w:b/>
          <w:i/>
          <w:position w:val="-6"/>
        </w:rPr>
        <w:t>Repetition for multi-PUSCH</w:t>
      </w:r>
      <w:r>
        <w:rPr>
          <w:rFonts w:ascii="Times New Roman" w:hAnsi="Times New Roman" w:cs="Times New Roman"/>
          <w:b/>
          <w:i/>
          <w:position w:val="-6"/>
          <w:lang w:eastAsia="zh-CN"/>
        </w:rPr>
        <w:t>s</w:t>
      </w:r>
      <w:r>
        <w:rPr>
          <w:rFonts w:ascii="Times New Roman" w:hAnsi="Times New Roman" w:cs="Times New Roman"/>
          <w:b/>
          <w:i/>
          <w:position w:val="-6"/>
        </w:rPr>
        <w:t xml:space="preserve"> transmissions within a CG configuration can be supported. </w:t>
      </w:r>
    </w:p>
    <w:p>
      <w:pPr>
        <w:pStyle w:val="83"/>
        <w:spacing w:before="120" w:beforeLines="50" w:after="120" w:afterLines="50"/>
        <w:ind w:left="0"/>
        <w:jc w:val="both"/>
        <w:rPr>
          <w:rFonts w:ascii="Times New Roman" w:hAnsi="Times New Roman" w:eastAsia="Times New Roman" w:cs="Times New Roman"/>
          <w:i/>
          <w:szCs w:val="20"/>
          <w:lang w:eastAsia="ko-KR"/>
        </w:rPr>
      </w:pPr>
      <w:r>
        <w:rPr>
          <w:rFonts w:ascii="Times New Roman" w:hAnsi="Times New Roman" w:eastAsia="宋体" w:cs="Times New Roman"/>
          <w:b/>
          <w:i/>
          <w:lang w:eastAsia="zh-CN" w:bidi="ar"/>
        </w:rPr>
        <w:t xml:space="preserve">Proposal 4: For XR, when multiple TOs within a CG is configured, the HARQ-ID for the first configured/valid PUSCH within a CG configuration is determined based on current mechanism which is defined in TS 38.321, </w:t>
      </w:r>
      <w:r>
        <w:rPr>
          <w:rFonts w:ascii="Times New Roman" w:hAnsi="Times New Roman" w:cs="Times New Roman"/>
          <w:b/>
          <w:i/>
          <w:szCs w:val="20"/>
        </w:rPr>
        <w:t xml:space="preserve">the HARQ process ID of the remaining configured/valid CG PUSCHs in the period is determined by incrementing the HARQ process ID of the preceding PUSCH in the period by Y with module operation with </w:t>
      </w:r>
      <w:r>
        <w:rPr>
          <w:rFonts w:ascii="Times New Roman" w:hAnsi="Times New Roman" w:eastAsia="Times New Roman" w:cs="Times New Roman"/>
          <w:b/>
          <w:i/>
          <w:szCs w:val="20"/>
          <w:lang w:eastAsia="ko-KR"/>
        </w:rPr>
        <w:t>nrofHARQ-Processes.</w:t>
      </w:r>
    </w:p>
    <w:p>
      <w:pPr>
        <w:pStyle w:val="83"/>
        <w:numPr>
          <w:ilvl w:val="0"/>
          <w:numId w:val="30"/>
        </w:numPr>
        <w:spacing w:before="120" w:beforeLines="50" w:after="120" w:afterLines="50"/>
        <w:jc w:val="both"/>
        <w:rPr>
          <w:rFonts w:ascii="Times New Roman" w:hAnsi="Times New Roman" w:eastAsia="Times New Roman" w:cs="Times New Roman"/>
          <w:b/>
          <w:i/>
          <w:szCs w:val="20"/>
          <w:lang w:eastAsia="ko-KR"/>
        </w:rPr>
      </w:pPr>
      <w:r>
        <w:rPr>
          <w:rFonts w:ascii="Times New Roman" w:hAnsi="Times New Roman" w:eastAsia="Times New Roman" w:cs="Times New Roman"/>
          <w:b/>
          <w:i/>
          <w:szCs w:val="20"/>
          <w:lang w:eastAsia="ko-KR"/>
        </w:rPr>
        <w:t>X =1</w:t>
      </w:r>
    </w:p>
    <w:p>
      <w:pPr>
        <w:pStyle w:val="83"/>
        <w:numPr>
          <w:ilvl w:val="0"/>
          <w:numId w:val="30"/>
        </w:numPr>
        <w:spacing w:before="120" w:beforeLines="50" w:after="120" w:afterLines="50"/>
        <w:jc w:val="both"/>
        <w:rPr>
          <w:rFonts w:ascii="Times New Roman" w:hAnsi="Times New Roman" w:eastAsia="Times New Roman" w:cs="Times New Roman"/>
          <w:b/>
          <w:i/>
          <w:szCs w:val="20"/>
          <w:lang w:eastAsia="ko-KR"/>
        </w:rPr>
      </w:pPr>
      <w:r>
        <w:rPr>
          <w:rFonts w:ascii="Times New Roman" w:hAnsi="Times New Roman" w:eastAsia="Times New Roman" w:cs="Times New Roman"/>
          <w:b/>
          <w:i/>
          <w:szCs w:val="20"/>
          <w:lang w:eastAsia="ko-KR"/>
        </w:rPr>
        <w:t>Y can be larger than 1 and is determined based on RRC</w:t>
      </w:r>
    </w:p>
    <w:p>
      <w:pPr>
        <w:jc w:val="both"/>
        <w:rPr>
          <w:rFonts w:ascii="Times New Roman" w:hAnsi="Times New Roman" w:cs="Times New Roman"/>
          <w:b/>
          <w:i/>
          <w:lang w:eastAsia="zh-CN"/>
        </w:rPr>
      </w:pPr>
      <w:r>
        <w:rPr>
          <w:rFonts w:ascii="Times New Roman" w:hAnsi="Times New Roman" w:cs="Times New Roman"/>
          <w:b/>
          <w:i/>
          <w:lang w:eastAsia="zh-CN"/>
        </w:rPr>
        <w:t>Proposal 5: Both a set of unused TOs located in the front and the end of a CG configuration can be considered for CG enhanced for XR.</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6: The UCI determines the CG PUSCH TO(s) that are indicated as “unused” based on bitmap, and </w:t>
      </w:r>
      <w:r>
        <w:rPr>
          <w:rFonts w:ascii="Times New Roman" w:hAnsi="Times New Roman" w:cs="Times New Roman"/>
          <w:b/>
          <w:i/>
        </w:rPr>
        <w:t>the UCI provides a bitmap where a bit corresponds to a TO within a time duration/range.</w:t>
      </w:r>
    </w:p>
    <w:p>
      <w:pPr>
        <w:pStyle w:val="92"/>
        <w:ind w:left="0" w:firstLine="0"/>
        <w:rPr>
          <w:rFonts w:cs="Times New Roman"/>
          <w:b/>
          <w:i/>
          <w:lang w:eastAsia="zh-CN"/>
        </w:rPr>
      </w:pPr>
      <w:r>
        <w:rPr>
          <w:rFonts w:cs="Times New Roman"/>
          <w:b/>
          <w:i/>
          <w:lang w:eastAsia="zh-CN"/>
        </w:rPr>
        <w:t>Proposal 7: UCI bits sequence generate can be HARQ-ACK first, then UTO-UCI.</w:t>
      </w:r>
    </w:p>
    <w:p>
      <w:pPr>
        <w:spacing w:before="120" w:after="120"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 xml:space="preserve">Observation 2：There is a gap between XR periodic UL traffic and CG configuration. </w:t>
      </w:r>
    </w:p>
    <w:p>
      <w:pPr>
        <w:spacing w:before="100" w:beforeAutospacing="1" w:line="256" w:lineRule="auto"/>
        <w:jc w:val="both"/>
        <w:rPr>
          <w:rFonts w:ascii="Times New Roman" w:hAnsi="Times New Roman" w:eastAsia="宋体" w:cs="Times New Roman"/>
          <w:lang w:eastAsia="zh-CN"/>
        </w:rPr>
      </w:pPr>
      <w:r>
        <w:rPr>
          <w:rFonts w:ascii="Times New Roman" w:hAnsi="Times New Roman" w:eastAsia="宋体" w:cs="Times New Roman"/>
          <w:b/>
          <w:i/>
          <w:lang w:eastAsia="zh-CN"/>
        </w:rPr>
        <w:t>Proposal 8: A fixed transmission pattern of CG within an integer periodicity for XR can be considered.</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9: Additional TOs after the end of the configured TO within a CG period and </w:t>
      </w:r>
      <w:r>
        <w:rPr>
          <w:rFonts w:ascii="Times New Roman" w:hAnsi="Times New Roman" w:cs="Times New Roman"/>
          <w:b/>
          <w:i/>
          <w:color w:val="000000" w:themeColor="text1"/>
          <w:lang w:eastAsia="zh-CN"/>
          <w14:textFill>
            <w14:solidFill>
              <w14:schemeClr w14:val="tx1"/>
            </w14:solidFill>
          </w14:textFill>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14:textFill>
            <w14:solidFill>
              <w14:schemeClr w14:val="tx1"/>
            </w14:solidFill>
          </w14:textFill>
        </w:rPr>
        <w:t>ly</w:t>
      </w:r>
      <w:r>
        <w:rPr>
          <w:rFonts w:ascii="Times New Roman" w:hAnsi="Times New Roman" w:cs="Times New Roman"/>
          <w:b/>
          <w:i/>
          <w:lang w:eastAsia="zh-CN"/>
        </w:rPr>
        <w:t xml:space="preserve">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10: When more than one CG configuration activation simultaneously, a UCI to indicate un-used TOs within more than one CG configurations can be considered. </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eastAsia="Batang" w:cs="Times New Roman"/>
          <w:b/>
          <w:lang w:eastAsia="zh-CN" w:bidi="ar"/>
        </w:rPr>
      </w:pPr>
      <w:r>
        <w:rPr>
          <w:rFonts w:ascii="Times New Roman" w:hAnsi="Times New Roman" w:eastAsia="Calibri" w:cs="Times New Roman"/>
        </w:rPr>
        <w:t>[1]</w:t>
      </w:r>
      <w:r>
        <w:rPr>
          <w:rFonts w:ascii="Times New Roman" w:hAnsi="Times New Roman" w:eastAsia="宋体" w:cs="Times New Roman"/>
          <w:lang w:eastAsia="zh-CN"/>
        </w:rPr>
        <w:t xml:space="preserve"> RP-223502, </w:t>
      </w:r>
      <w:r>
        <w:rPr>
          <w:rFonts w:ascii="Times New Roman" w:hAnsi="Times New Roman" w:eastAsia="Batang" w:cs="Times New Roman"/>
          <w:lang w:eastAsia="zh-CN" w:bidi="ar"/>
        </w:rPr>
        <w:t>New WID on XR Enhancements for NR. Nokia, Qualcomm.</w:t>
      </w:r>
      <w:r>
        <w:rPr>
          <w:rFonts w:ascii="Times New Roman" w:hAnsi="Times New Roman" w:eastAsia="Batang" w:cs="Times New Roman"/>
          <w:b/>
          <w:lang w:eastAsia="zh-CN" w:bidi="ar"/>
        </w:rPr>
        <w:t xml:space="preserve"> </w:t>
      </w:r>
    </w:p>
    <w:p>
      <w:pPr>
        <w:spacing w:after="0" w:line="264" w:lineRule="auto"/>
        <w:jc w:val="both"/>
        <w:rPr>
          <w:rFonts w:ascii="Times New Roman" w:hAnsi="Times New Roman" w:cs="Times New Roman"/>
          <w:lang w:eastAsia="zh-CN"/>
        </w:rPr>
      </w:pPr>
      <w:r>
        <w:rPr>
          <w:rFonts w:ascii="Times New Roman" w:hAnsi="Times New Roman" w:eastAsia="Calibri" w:cs="Times New Roman"/>
        </w:rPr>
        <w:t>[</w:t>
      </w:r>
      <w:r>
        <w:rPr>
          <w:rFonts w:ascii="Times New Roman" w:hAnsi="Times New Roman" w:eastAsia="宋体" w:cs="Times New Roman"/>
          <w:lang w:eastAsia="zh-CN"/>
        </w:rPr>
        <w:t>2</w:t>
      </w:r>
      <w:r>
        <w:rPr>
          <w:rFonts w:ascii="Times New Roman" w:hAnsi="Times New Roman" w:eastAsia="Calibri" w:cs="Times New Roman"/>
        </w:rPr>
        <w:t xml:space="preserve">] </w:t>
      </w:r>
      <w:r>
        <w:rPr>
          <w:rFonts w:ascii="Times New Roman" w:hAnsi="Times New Roman" w:cs="Times New Roman"/>
          <w:lang w:eastAsia="zh-CN"/>
        </w:rPr>
        <w:t>3GPP RAN1 #112bis meeting, Chairman notes.</w:t>
      </w:r>
      <w:r>
        <w:rPr>
          <w:rFonts w:ascii="Times New Roman" w:hAnsi="Times New Roman" w:eastAsia="Batang" w:cs="Times New Roman"/>
          <w:lang w:eastAsia="zh-CN"/>
        </w:rPr>
        <w:t xml:space="preserve"> </w:t>
      </w:r>
    </w:p>
    <w:p>
      <w:pPr>
        <w:spacing w:after="0" w:line="264" w:lineRule="auto"/>
        <w:jc w:val="both"/>
        <w:rPr>
          <w:rFonts w:ascii="Times New Roman" w:hAnsi="Times New Roman" w:cs="Times New Roman"/>
        </w:rPr>
      </w:pPr>
      <w:r>
        <w:rPr>
          <w:rFonts w:ascii="Times New Roman" w:hAnsi="Times New Roman" w:eastAsia="Batang" w:cs="Times New Roman"/>
          <w:lang w:eastAsia="zh-CN"/>
        </w:rPr>
        <w:t xml:space="preserve">[3] TR 38.838, </w:t>
      </w:r>
      <w:r>
        <w:rPr>
          <w:rFonts w:ascii="Times New Roman" w:hAnsi="Times New Roman" w:cs="Times New Roman"/>
        </w:rPr>
        <w:t xml:space="preserve">Study on XR (Extended Reality) Evaluations for NR. </w:t>
      </w:r>
    </w:p>
    <w:p>
      <w:pPr>
        <w:spacing w:after="0" w:line="264" w:lineRule="auto"/>
        <w:jc w:val="both"/>
        <w:rPr>
          <w:rFonts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00001" w:csb1="00000000"/>
  </w:font>
  <w:font w:name="TimesNewRomanPS-ItalicMT">
    <w:altName w:val="Times New Roman"/>
    <w:panose1 w:val="00000000000000000000"/>
    <w:charset w:val="00"/>
    <w:family w:val="auto"/>
    <w:pitch w:val="default"/>
    <w:sig w:usb0="00000000" w:usb1="00000000" w:usb2="00000001" w:usb3="00000000" w:csb0="000001B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23A14E7"/>
    <w:multiLevelType w:val="multilevel"/>
    <w:tmpl w:val="023A14E7"/>
    <w:lvl w:ilvl="0" w:tentative="0">
      <w:start w:val="1"/>
      <w:numFmt w:val="bullet"/>
      <w:lvlText w:val=""/>
      <w:lvlJc w:val="left"/>
      <w:pPr>
        <w:ind w:left="420" w:hanging="420"/>
      </w:pPr>
      <w:rPr>
        <w:rFonts w:hint="default" w:ascii="Symbol" w:hAnsi="Symbol" w:eastAsia="MS Minch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7E84574"/>
    <w:multiLevelType w:val="multilevel"/>
    <w:tmpl w:val="17E8457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21463BD9"/>
    <w:multiLevelType w:val="multilevel"/>
    <w:tmpl w:val="21463BD9"/>
    <w:lvl w:ilvl="0" w:tentative="0">
      <w:start w:val="8"/>
      <w:numFmt w:val="bullet"/>
      <w:lvlText w:val="-"/>
      <w:lvlJc w:val="left"/>
      <w:pPr>
        <w:ind w:left="840" w:hanging="420"/>
      </w:pPr>
      <w:rPr>
        <w:rFonts w:hint="default" w:ascii="Arial" w:hAnsi="Arial" w:eastAsia="Malgun Gothic"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2FB0335A"/>
    <w:multiLevelType w:val="multilevel"/>
    <w:tmpl w:val="2FB0335A"/>
    <w:lvl w:ilvl="0" w:tentative="0">
      <w:start w:val="8"/>
      <w:numFmt w:val="bullet"/>
      <w:lvlText w:val="-"/>
      <w:lvlJc w:val="left"/>
      <w:pPr>
        <w:ind w:left="1140" w:hanging="420"/>
      </w:pPr>
      <w:rPr>
        <w:rFonts w:hint="default" w:ascii="Arial" w:hAnsi="Arial" w:eastAsia="Malgun Gothic" w:cs="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4">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07F07D0"/>
    <w:multiLevelType w:val="multilevel"/>
    <w:tmpl w:val="407F07D0"/>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8">
    <w:nsid w:val="43D04EBC"/>
    <w:multiLevelType w:val="multilevel"/>
    <w:tmpl w:val="43D04E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92E1D88"/>
    <w:multiLevelType w:val="multilevel"/>
    <w:tmpl w:val="492E1D88"/>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9452116"/>
    <w:multiLevelType w:val="multilevel"/>
    <w:tmpl w:val="49452116"/>
    <w:lvl w:ilvl="0" w:tentative="0">
      <w:start w:val="1"/>
      <w:numFmt w:val="bullet"/>
      <w:lvlText w:val=""/>
      <w:lvlJc w:val="left"/>
      <w:pPr>
        <w:ind w:left="420" w:hanging="420"/>
      </w:pPr>
      <w:rPr>
        <w:rFonts w:hint="default" w:ascii="Symbol" w:hAnsi="Symbol" w:eastAsia="MS Minch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2">
    <w:nsid w:val="4D1B412F"/>
    <w:multiLevelType w:val="multilevel"/>
    <w:tmpl w:val="4D1B41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3">
    <w:nsid w:val="594A296B"/>
    <w:multiLevelType w:val="multilevel"/>
    <w:tmpl w:val="594A296B"/>
    <w:lvl w:ilvl="0" w:tentative="0">
      <w:start w:val="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663E1296"/>
    <w:multiLevelType w:val="multilevel"/>
    <w:tmpl w:val="663E12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6">
    <w:nsid w:val="736F3D70"/>
    <w:multiLevelType w:val="multilevel"/>
    <w:tmpl w:val="736F3D70"/>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7">
    <w:nsid w:val="75C6733C"/>
    <w:multiLevelType w:val="multilevel"/>
    <w:tmpl w:val="75C673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76D6CD5"/>
    <w:multiLevelType w:val="multilevel"/>
    <w:tmpl w:val="776D6CD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9">
    <w:nsid w:val="7B3D1D73"/>
    <w:multiLevelType w:val="multilevel"/>
    <w:tmpl w:val="7B3D1D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CDC6282"/>
    <w:multiLevelType w:val="multilevel"/>
    <w:tmpl w:val="7CDC6282"/>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15"/>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21"/>
  </w:num>
  <w:num w:numId="14">
    <w:abstractNumId w:val="25"/>
  </w:num>
  <w:num w:numId="15">
    <w:abstractNumId w:val="14"/>
  </w:num>
  <w:num w:numId="16">
    <w:abstractNumId w:val="30"/>
  </w:num>
  <w:num w:numId="17">
    <w:abstractNumId w:val="22"/>
  </w:num>
  <w:num w:numId="18">
    <w:abstractNumId w:val="18"/>
  </w:num>
  <w:num w:numId="19">
    <w:abstractNumId w:val="24"/>
  </w:num>
  <w:num w:numId="20">
    <w:abstractNumId w:val="27"/>
  </w:num>
  <w:num w:numId="21">
    <w:abstractNumId w:val="29"/>
  </w:num>
  <w:num w:numId="22">
    <w:abstractNumId w:val="17"/>
  </w:num>
  <w:num w:numId="23">
    <w:abstractNumId w:val="11"/>
  </w:num>
  <w:num w:numId="24">
    <w:abstractNumId w:val="28"/>
  </w:num>
  <w:num w:numId="25">
    <w:abstractNumId w:val="13"/>
  </w:num>
  <w:num w:numId="26">
    <w:abstractNumId w:val="12"/>
  </w:num>
  <w:num w:numId="27">
    <w:abstractNumId w:val="10"/>
  </w:num>
  <w:num w:numId="28">
    <w:abstractNumId w:val="19"/>
  </w:num>
  <w:num w:numId="29">
    <w:abstractNumId w:val="20"/>
  </w:num>
  <w:num w:numId="30">
    <w:abstractNumId w:val="26"/>
  </w:num>
  <w:num w:numId="31">
    <w:abstractNumId w:val="23"/>
  </w:num>
  <w:num w:numId="32">
    <w:abstractNumId w:val="15"/>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documentProtection w:enforcement="0"/>
  <w:defaultTabStop w:val="720"/>
  <w:hyphenationZone w:val="425"/>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0C6D"/>
    <w:rsid w:val="00001D7E"/>
    <w:rsid w:val="0000259A"/>
    <w:rsid w:val="000031AE"/>
    <w:rsid w:val="00004EE8"/>
    <w:rsid w:val="000070CC"/>
    <w:rsid w:val="00010261"/>
    <w:rsid w:val="000121C8"/>
    <w:rsid w:val="000127C2"/>
    <w:rsid w:val="000140CD"/>
    <w:rsid w:val="00014857"/>
    <w:rsid w:val="0001600B"/>
    <w:rsid w:val="00022C16"/>
    <w:rsid w:val="00023008"/>
    <w:rsid w:val="000320A6"/>
    <w:rsid w:val="00032102"/>
    <w:rsid w:val="000367B4"/>
    <w:rsid w:val="0005082B"/>
    <w:rsid w:val="00050AC7"/>
    <w:rsid w:val="00050E9C"/>
    <w:rsid w:val="00054054"/>
    <w:rsid w:val="00054C7F"/>
    <w:rsid w:val="000560CB"/>
    <w:rsid w:val="0005685A"/>
    <w:rsid w:val="00061344"/>
    <w:rsid w:val="00065EA4"/>
    <w:rsid w:val="00066C9B"/>
    <w:rsid w:val="0007190C"/>
    <w:rsid w:val="00082011"/>
    <w:rsid w:val="000864F5"/>
    <w:rsid w:val="00086CF3"/>
    <w:rsid w:val="000878A1"/>
    <w:rsid w:val="00090BE1"/>
    <w:rsid w:val="0009228D"/>
    <w:rsid w:val="00093A1E"/>
    <w:rsid w:val="00093E54"/>
    <w:rsid w:val="000946D7"/>
    <w:rsid w:val="0009722B"/>
    <w:rsid w:val="00097B64"/>
    <w:rsid w:val="000A3D8A"/>
    <w:rsid w:val="000A437C"/>
    <w:rsid w:val="000A542E"/>
    <w:rsid w:val="000A5783"/>
    <w:rsid w:val="000A751F"/>
    <w:rsid w:val="000B2155"/>
    <w:rsid w:val="000B2EAF"/>
    <w:rsid w:val="000B62DF"/>
    <w:rsid w:val="000C41DF"/>
    <w:rsid w:val="000C439F"/>
    <w:rsid w:val="000C71DE"/>
    <w:rsid w:val="000C72A7"/>
    <w:rsid w:val="000D0EBE"/>
    <w:rsid w:val="000D15CE"/>
    <w:rsid w:val="000D6CD7"/>
    <w:rsid w:val="000D7BD1"/>
    <w:rsid w:val="000D7E46"/>
    <w:rsid w:val="000E18F2"/>
    <w:rsid w:val="000E4735"/>
    <w:rsid w:val="000E4DF5"/>
    <w:rsid w:val="000E5037"/>
    <w:rsid w:val="000F73D6"/>
    <w:rsid w:val="00100487"/>
    <w:rsid w:val="001008DA"/>
    <w:rsid w:val="001020AF"/>
    <w:rsid w:val="001031A6"/>
    <w:rsid w:val="00110FB5"/>
    <w:rsid w:val="001128B1"/>
    <w:rsid w:val="00117DEA"/>
    <w:rsid w:val="00122B69"/>
    <w:rsid w:val="001270B2"/>
    <w:rsid w:val="001309E6"/>
    <w:rsid w:val="00132F28"/>
    <w:rsid w:val="001379FB"/>
    <w:rsid w:val="001407F2"/>
    <w:rsid w:val="00147DCD"/>
    <w:rsid w:val="0015024B"/>
    <w:rsid w:val="001530C2"/>
    <w:rsid w:val="00155E5F"/>
    <w:rsid w:val="001570CE"/>
    <w:rsid w:val="001602FD"/>
    <w:rsid w:val="00163F21"/>
    <w:rsid w:val="001643D6"/>
    <w:rsid w:val="00164AF2"/>
    <w:rsid w:val="0017077C"/>
    <w:rsid w:val="00177ACE"/>
    <w:rsid w:val="0018192B"/>
    <w:rsid w:val="00182776"/>
    <w:rsid w:val="00186A30"/>
    <w:rsid w:val="001871CF"/>
    <w:rsid w:val="001904C2"/>
    <w:rsid w:val="00190CC7"/>
    <w:rsid w:val="0019154D"/>
    <w:rsid w:val="00193641"/>
    <w:rsid w:val="001943DD"/>
    <w:rsid w:val="00195153"/>
    <w:rsid w:val="001A08BE"/>
    <w:rsid w:val="001A182F"/>
    <w:rsid w:val="001A2911"/>
    <w:rsid w:val="001A374C"/>
    <w:rsid w:val="001A5E1F"/>
    <w:rsid w:val="001B4E0F"/>
    <w:rsid w:val="001B6F74"/>
    <w:rsid w:val="001C26D4"/>
    <w:rsid w:val="001C5F63"/>
    <w:rsid w:val="001C69D7"/>
    <w:rsid w:val="001D142D"/>
    <w:rsid w:val="001D1FFE"/>
    <w:rsid w:val="001D3F0E"/>
    <w:rsid w:val="001D4027"/>
    <w:rsid w:val="001D53B9"/>
    <w:rsid w:val="001D6925"/>
    <w:rsid w:val="001E0D41"/>
    <w:rsid w:val="001E21B3"/>
    <w:rsid w:val="001E2E56"/>
    <w:rsid w:val="001E3AAB"/>
    <w:rsid w:val="001E5F72"/>
    <w:rsid w:val="001E6711"/>
    <w:rsid w:val="001F4D48"/>
    <w:rsid w:val="001F7221"/>
    <w:rsid w:val="00206CA3"/>
    <w:rsid w:val="00210F91"/>
    <w:rsid w:val="00215C2B"/>
    <w:rsid w:val="00216E1B"/>
    <w:rsid w:val="002178DC"/>
    <w:rsid w:val="0022013A"/>
    <w:rsid w:val="00221BF5"/>
    <w:rsid w:val="002230BA"/>
    <w:rsid w:val="00223293"/>
    <w:rsid w:val="002266D9"/>
    <w:rsid w:val="0022732E"/>
    <w:rsid w:val="002313ED"/>
    <w:rsid w:val="00232A9B"/>
    <w:rsid w:val="0023725D"/>
    <w:rsid w:val="0024082D"/>
    <w:rsid w:val="002423BD"/>
    <w:rsid w:val="0024246C"/>
    <w:rsid w:val="00242C82"/>
    <w:rsid w:val="00242CA2"/>
    <w:rsid w:val="00244F9D"/>
    <w:rsid w:val="00246018"/>
    <w:rsid w:val="002521D8"/>
    <w:rsid w:val="00252899"/>
    <w:rsid w:val="00255689"/>
    <w:rsid w:val="002609FB"/>
    <w:rsid w:val="002610BF"/>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4F0F"/>
    <w:rsid w:val="002953EF"/>
    <w:rsid w:val="002A057C"/>
    <w:rsid w:val="002B118E"/>
    <w:rsid w:val="002B4B0D"/>
    <w:rsid w:val="002B5B89"/>
    <w:rsid w:val="002C1788"/>
    <w:rsid w:val="002C23C2"/>
    <w:rsid w:val="002C3AC7"/>
    <w:rsid w:val="002C4687"/>
    <w:rsid w:val="002C6DF2"/>
    <w:rsid w:val="002D235E"/>
    <w:rsid w:val="002D283A"/>
    <w:rsid w:val="002E0740"/>
    <w:rsid w:val="002E5381"/>
    <w:rsid w:val="002E7FC6"/>
    <w:rsid w:val="002F26EA"/>
    <w:rsid w:val="002F3959"/>
    <w:rsid w:val="002F564D"/>
    <w:rsid w:val="003003F6"/>
    <w:rsid w:val="00311150"/>
    <w:rsid w:val="003130AC"/>
    <w:rsid w:val="00313AC6"/>
    <w:rsid w:val="003155F2"/>
    <w:rsid w:val="00315D8E"/>
    <w:rsid w:val="00316B10"/>
    <w:rsid w:val="00320C73"/>
    <w:rsid w:val="00333C51"/>
    <w:rsid w:val="00334494"/>
    <w:rsid w:val="0033688D"/>
    <w:rsid w:val="003371BB"/>
    <w:rsid w:val="0033754D"/>
    <w:rsid w:val="003402FE"/>
    <w:rsid w:val="003410B4"/>
    <w:rsid w:val="003426E2"/>
    <w:rsid w:val="00344B98"/>
    <w:rsid w:val="003463FA"/>
    <w:rsid w:val="00353E26"/>
    <w:rsid w:val="003549B4"/>
    <w:rsid w:val="00356374"/>
    <w:rsid w:val="00361469"/>
    <w:rsid w:val="00361FB7"/>
    <w:rsid w:val="00362BC7"/>
    <w:rsid w:val="003634FB"/>
    <w:rsid w:val="0036435F"/>
    <w:rsid w:val="00364C66"/>
    <w:rsid w:val="00365863"/>
    <w:rsid w:val="00373854"/>
    <w:rsid w:val="003758F0"/>
    <w:rsid w:val="00377010"/>
    <w:rsid w:val="00377523"/>
    <w:rsid w:val="003818CF"/>
    <w:rsid w:val="0038322C"/>
    <w:rsid w:val="00383391"/>
    <w:rsid w:val="00386220"/>
    <w:rsid w:val="00386240"/>
    <w:rsid w:val="0038642C"/>
    <w:rsid w:val="00386CD1"/>
    <w:rsid w:val="00386E0B"/>
    <w:rsid w:val="003922E9"/>
    <w:rsid w:val="003923A1"/>
    <w:rsid w:val="003925F8"/>
    <w:rsid w:val="00397816"/>
    <w:rsid w:val="003A1148"/>
    <w:rsid w:val="003A207B"/>
    <w:rsid w:val="003A5967"/>
    <w:rsid w:val="003B43E2"/>
    <w:rsid w:val="003B46DC"/>
    <w:rsid w:val="003B6025"/>
    <w:rsid w:val="003C3EDB"/>
    <w:rsid w:val="003C46D2"/>
    <w:rsid w:val="003C4CA0"/>
    <w:rsid w:val="003C79E7"/>
    <w:rsid w:val="003D0840"/>
    <w:rsid w:val="003D2CEF"/>
    <w:rsid w:val="003D2EBB"/>
    <w:rsid w:val="003D6FB2"/>
    <w:rsid w:val="003E1E6E"/>
    <w:rsid w:val="003E28AF"/>
    <w:rsid w:val="003E3E8E"/>
    <w:rsid w:val="003E4D0A"/>
    <w:rsid w:val="003E5374"/>
    <w:rsid w:val="003E620B"/>
    <w:rsid w:val="003E739B"/>
    <w:rsid w:val="003F03CD"/>
    <w:rsid w:val="003F0F86"/>
    <w:rsid w:val="003F110F"/>
    <w:rsid w:val="003F1CEA"/>
    <w:rsid w:val="003F2976"/>
    <w:rsid w:val="003F2CEA"/>
    <w:rsid w:val="003F51E8"/>
    <w:rsid w:val="003F5216"/>
    <w:rsid w:val="003F67D4"/>
    <w:rsid w:val="00401577"/>
    <w:rsid w:val="00401B37"/>
    <w:rsid w:val="00403DB9"/>
    <w:rsid w:val="004047B3"/>
    <w:rsid w:val="00412F6D"/>
    <w:rsid w:val="00414317"/>
    <w:rsid w:val="00415752"/>
    <w:rsid w:val="00422CD5"/>
    <w:rsid w:val="00425B80"/>
    <w:rsid w:val="004310DC"/>
    <w:rsid w:val="004314B1"/>
    <w:rsid w:val="00431775"/>
    <w:rsid w:val="00431786"/>
    <w:rsid w:val="004347C7"/>
    <w:rsid w:val="004364F3"/>
    <w:rsid w:val="004377DA"/>
    <w:rsid w:val="00441862"/>
    <w:rsid w:val="00441CC8"/>
    <w:rsid w:val="00441E1E"/>
    <w:rsid w:val="00442F9B"/>
    <w:rsid w:val="00453C3A"/>
    <w:rsid w:val="004558B9"/>
    <w:rsid w:val="004567C5"/>
    <w:rsid w:val="004576C5"/>
    <w:rsid w:val="004578A9"/>
    <w:rsid w:val="00457E1C"/>
    <w:rsid w:val="00462597"/>
    <w:rsid w:val="00463183"/>
    <w:rsid w:val="0046497F"/>
    <w:rsid w:val="00466544"/>
    <w:rsid w:val="004704B6"/>
    <w:rsid w:val="00473E2E"/>
    <w:rsid w:val="00474B05"/>
    <w:rsid w:val="00475D96"/>
    <w:rsid w:val="00481B58"/>
    <w:rsid w:val="00484A04"/>
    <w:rsid w:val="00484CAD"/>
    <w:rsid w:val="00486B91"/>
    <w:rsid w:val="00492DB4"/>
    <w:rsid w:val="00494EE6"/>
    <w:rsid w:val="0049530C"/>
    <w:rsid w:val="00495A88"/>
    <w:rsid w:val="004A0B46"/>
    <w:rsid w:val="004A3B99"/>
    <w:rsid w:val="004A3FB1"/>
    <w:rsid w:val="004B623E"/>
    <w:rsid w:val="004B6A9A"/>
    <w:rsid w:val="004B79F3"/>
    <w:rsid w:val="004C1B10"/>
    <w:rsid w:val="004C1DEF"/>
    <w:rsid w:val="004C2245"/>
    <w:rsid w:val="004C2286"/>
    <w:rsid w:val="004C58F9"/>
    <w:rsid w:val="004D09E1"/>
    <w:rsid w:val="004D100F"/>
    <w:rsid w:val="004E1ED0"/>
    <w:rsid w:val="004E3D42"/>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49A1"/>
    <w:rsid w:val="00525CD2"/>
    <w:rsid w:val="00527D7C"/>
    <w:rsid w:val="005308CC"/>
    <w:rsid w:val="0053092D"/>
    <w:rsid w:val="00531438"/>
    <w:rsid w:val="00531DF7"/>
    <w:rsid w:val="005339CB"/>
    <w:rsid w:val="00534E4B"/>
    <w:rsid w:val="005407F8"/>
    <w:rsid w:val="00541442"/>
    <w:rsid w:val="00541BAE"/>
    <w:rsid w:val="00542EDB"/>
    <w:rsid w:val="00543B4B"/>
    <w:rsid w:val="005441D2"/>
    <w:rsid w:val="00545A54"/>
    <w:rsid w:val="00545B03"/>
    <w:rsid w:val="00546B45"/>
    <w:rsid w:val="00550234"/>
    <w:rsid w:val="005524ED"/>
    <w:rsid w:val="00557D06"/>
    <w:rsid w:val="0056297E"/>
    <w:rsid w:val="00565774"/>
    <w:rsid w:val="005743B2"/>
    <w:rsid w:val="00580C11"/>
    <w:rsid w:val="00584049"/>
    <w:rsid w:val="00584D06"/>
    <w:rsid w:val="005861D0"/>
    <w:rsid w:val="0058673B"/>
    <w:rsid w:val="00586EB6"/>
    <w:rsid w:val="005912D1"/>
    <w:rsid w:val="00593BCB"/>
    <w:rsid w:val="00594ACE"/>
    <w:rsid w:val="00595921"/>
    <w:rsid w:val="00595D3C"/>
    <w:rsid w:val="005A047C"/>
    <w:rsid w:val="005A12D9"/>
    <w:rsid w:val="005A273E"/>
    <w:rsid w:val="005A2911"/>
    <w:rsid w:val="005A321E"/>
    <w:rsid w:val="005A4DA7"/>
    <w:rsid w:val="005A5D47"/>
    <w:rsid w:val="005B28B0"/>
    <w:rsid w:val="005B413D"/>
    <w:rsid w:val="005B6395"/>
    <w:rsid w:val="005C04C4"/>
    <w:rsid w:val="005C07BF"/>
    <w:rsid w:val="005C3CD7"/>
    <w:rsid w:val="005C60B7"/>
    <w:rsid w:val="005C655D"/>
    <w:rsid w:val="005C688B"/>
    <w:rsid w:val="005C78B7"/>
    <w:rsid w:val="005C7BCB"/>
    <w:rsid w:val="005D246D"/>
    <w:rsid w:val="005D5DD2"/>
    <w:rsid w:val="005D658A"/>
    <w:rsid w:val="005D6DB0"/>
    <w:rsid w:val="005F0362"/>
    <w:rsid w:val="005F1BAC"/>
    <w:rsid w:val="005F2C07"/>
    <w:rsid w:val="005F3F53"/>
    <w:rsid w:val="005F4E75"/>
    <w:rsid w:val="005F64D1"/>
    <w:rsid w:val="00600E7B"/>
    <w:rsid w:val="00606F0F"/>
    <w:rsid w:val="00607873"/>
    <w:rsid w:val="006101F4"/>
    <w:rsid w:val="00610DEE"/>
    <w:rsid w:val="006116B9"/>
    <w:rsid w:val="006137D6"/>
    <w:rsid w:val="0061637C"/>
    <w:rsid w:val="006206D8"/>
    <w:rsid w:val="00621E48"/>
    <w:rsid w:val="00622501"/>
    <w:rsid w:val="00623137"/>
    <w:rsid w:val="00623DE1"/>
    <w:rsid w:val="0062471C"/>
    <w:rsid w:val="006249F9"/>
    <w:rsid w:val="00625071"/>
    <w:rsid w:val="006259B5"/>
    <w:rsid w:val="00626A32"/>
    <w:rsid w:val="0063392A"/>
    <w:rsid w:val="0064132E"/>
    <w:rsid w:val="00643FB4"/>
    <w:rsid w:val="00650278"/>
    <w:rsid w:val="00650D9E"/>
    <w:rsid w:val="0065110A"/>
    <w:rsid w:val="00652105"/>
    <w:rsid w:val="00654098"/>
    <w:rsid w:val="006548A0"/>
    <w:rsid w:val="00657430"/>
    <w:rsid w:val="00657DE4"/>
    <w:rsid w:val="00662BB9"/>
    <w:rsid w:val="00671599"/>
    <w:rsid w:val="0067254A"/>
    <w:rsid w:val="00672AFF"/>
    <w:rsid w:val="00673AFD"/>
    <w:rsid w:val="00674B29"/>
    <w:rsid w:val="00674D30"/>
    <w:rsid w:val="00675CBB"/>
    <w:rsid w:val="006778E8"/>
    <w:rsid w:val="00677F10"/>
    <w:rsid w:val="00681C16"/>
    <w:rsid w:val="00681F7E"/>
    <w:rsid w:val="00683F77"/>
    <w:rsid w:val="006840E4"/>
    <w:rsid w:val="006855F1"/>
    <w:rsid w:val="00685CE6"/>
    <w:rsid w:val="00686742"/>
    <w:rsid w:val="00691433"/>
    <w:rsid w:val="006943EF"/>
    <w:rsid w:val="006955F6"/>
    <w:rsid w:val="006970B6"/>
    <w:rsid w:val="00697E0A"/>
    <w:rsid w:val="006A3CE6"/>
    <w:rsid w:val="006A4C16"/>
    <w:rsid w:val="006A5862"/>
    <w:rsid w:val="006A7AA4"/>
    <w:rsid w:val="006B12D0"/>
    <w:rsid w:val="006B195F"/>
    <w:rsid w:val="006B30B2"/>
    <w:rsid w:val="006B3808"/>
    <w:rsid w:val="006B4A4A"/>
    <w:rsid w:val="006B589F"/>
    <w:rsid w:val="006C27BC"/>
    <w:rsid w:val="006C320E"/>
    <w:rsid w:val="006C3803"/>
    <w:rsid w:val="006C3844"/>
    <w:rsid w:val="006C5C1E"/>
    <w:rsid w:val="006C63F1"/>
    <w:rsid w:val="006D0586"/>
    <w:rsid w:val="006D303A"/>
    <w:rsid w:val="006D33AF"/>
    <w:rsid w:val="006D7E67"/>
    <w:rsid w:val="006E3A46"/>
    <w:rsid w:val="006E5EA9"/>
    <w:rsid w:val="006F1BF8"/>
    <w:rsid w:val="006F28CD"/>
    <w:rsid w:val="006F38D0"/>
    <w:rsid w:val="006F4316"/>
    <w:rsid w:val="006F5168"/>
    <w:rsid w:val="006F5A97"/>
    <w:rsid w:val="00700919"/>
    <w:rsid w:val="00701A90"/>
    <w:rsid w:val="00704270"/>
    <w:rsid w:val="0070471C"/>
    <w:rsid w:val="007052F1"/>
    <w:rsid w:val="007067A7"/>
    <w:rsid w:val="007072ED"/>
    <w:rsid w:val="007073CA"/>
    <w:rsid w:val="00710809"/>
    <w:rsid w:val="0071184E"/>
    <w:rsid w:val="007125E6"/>
    <w:rsid w:val="00714BD2"/>
    <w:rsid w:val="007158A4"/>
    <w:rsid w:val="0072008B"/>
    <w:rsid w:val="007205DB"/>
    <w:rsid w:val="00720E16"/>
    <w:rsid w:val="00730119"/>
    <w:rsid w:val="0073632C"/>
    <w:rsid w:val="00737E85"/>
    <w:rsid w:val="00743146"/>
    <w:rsid w:val="007433FA"/>
    <w:rsid w:val="007452F7"/>
    <w:rsid w:val="00745334"/>
    <w:rsid w:val="00745E1C"/>
    <w:rsid w:val="007476B5"/>
    <w:rsid w:val="00747EB7"/>
    <w:rsid w:val="00750BFB"/>
    <w:rsid w:val="00753406"/>
    <w:rsid w:val="0075342C"/>
    <w:rsid w:val="00753D2C"/>
    <w:rsid w:val="0075555A"/>
    <w:rsid w:val="007613F8"/>
    <w:rsid w:val="007616EC"/>
    <w:rsid w:val="00763BBD"/>
    <w:rsid w:val="00764B28"/>
    <w:rsid w:val="00764D5C"/>
    <w:rsid w:val="00765839"/>
    <w:rsid w:val="00765A3B"/>
    <w:rsid w:val="00767B7A"/>
    <w:rsid w:val="0077135B"/>
    <w:rsid w:val="0077562D"/>
    <w:rsid w:val="00775E2B"/>
    <w:rsid w:val="007773AF"/>
    <w:rsid w:val="0077781A"/>
    <w:rsid w:val="007837F2"/>
    <w:rsid w:val="007867C9"/>
    <w:rsid w:val="00786E51"/>
    <w:rsid w:val="00787079"/>
    <w:rsid w:val="007879BB"/>
    <w:rsid w:val="00787BE3"/>
    <w:rsid w:val="0079693F"/>
    <w:rsid w:val="007969B3"/>
    <w:rsid w:val="007A0793"/>
    <w:rsid w:val="007A1217"/>
    <w:rsid w:val="007A49DD"/>
    <w:rsid w:val="007A7A49"/>
    <w:rsid w:val="007B2077"/>
    <w:rsid w:val="007B21B8"/>
    <w:rsid w:val="007B6C51"/>
    <w:rsid w:val="007B946E"/>
    <w:rsid w:val="007C153B"/>
    <w:rsid w:val="007C1B3A"/>
    <w:rsid w:val="007C2444"/>
    <w:rsid w:val="007C2B79"/>
    <w:rsid w:val="007C30D5"/>
    <w:rsid w:val="007C5239"/>
    <w:rsid w:val="007C6BF3"/>
    <w:rsid w:val="007D3064"/>
    <w:rsid w:val="007D47ED"/>
    <w:rsid w:val="007D4D0E"/>
    <w:rsid w:val="007D50DB"/>
    <w:rsid w:val="007D58C7"/>
    <w:rsid w:val="007D5DF8"/>
    <w:rsid w:val="007D6D30"/>
    <w:rsid w:val="007E0603"/>
    <w:rsid w:val="007E23F5"/>
    <w:rsid w:val="007E4BD2"/>
    <w:rsid w:val="007F705A"/>
    <w:rsid w:val="00802A3C"/>
    <w:rsid w:val="00803082"/>
    <w:rsid w:val="00803307"/>
    <w:rsid w:val="008060C5"/>
    <w:rsid w:val="0080629E"/>
    <w:rsid w:val="008071EC"/>
    <w:rsid w:val="00810832"/>
    <w:rsid w:val="00813438"/>
    <w:rsid w:val="00815760"/>
    <w:rsid w:val="00830C27"/>
    <w:rsid w:val="008347D1"/>
    <w:rsid w:val="00841DE6"/>
    <w:rsid w:val="00843C92"/>
    <w:rsid w:val="008444BD"/>
    <w:rsid w:val="00845282"/>
    <w:rsid w:val="008461E6"/>
    <w:rsid w:val="00846FBA"/>
    <w:rsid w:val="00852833"/>
    <w:rsid w:val="00852DB9"/>
    <w:rsid w:val="00853476"/>
    <w:rsid w:val="00853B67"/>
    <w:rsid w:val="00854930"/>
    <w:rsid w:val="008562B1"/>
    <w:rsid w:val="008645BE"/>
    <w:rsid w:val="008653F9"/>
    <w:rsid w:val="00866268"/>
    <w:rsid w:val="00875034"/>
    <w:rsid w:val="0087634D"/>
    <w:rsid w:val="00892023"/>
    <w:rsid w:val="008930F8"/>
    <w:rsid w:val="00894D9D"/>
    <w:rsid w:val="00896C89"/>
    <w:rsid w:val="008B2674"/>
    <w:rsid w:val="008B3FB6"/>
    <w:rsid w:val="008C50DB"/>
    <w:rsid w:val="008D0B40"/>
    <w:rsid w:val="008D5B85"/>
    <w:rsid w:val="008E0887"/>
    <w:rsid w:val="008E0DED"/>
    <w:rsid w:val="008E1BF6"/>
    <w:rsid w:val="008E2DCC"/>
    <w:rsid w:val="008E4057"/>
    <w:rsid w:val="008E5D3E"/>
    <w:rsid w:val="008E6692"/>
    <w:rsid w:val="008E6F8D"/>
    <w:rsid w:val="008F289B"/>
    <w:rsid w:val="008F56F3"/>
    <w:rsid w:val="008F59DF"/>
    <w:rsid w:val="00902058"/>
    <w:rsid w:val="00903C69"/>
    <w:rsid w:val="00904B02"/>
    <w:rsid w:val="00905322"/>
    <w:rsid w:val="00910673"/>
    <w:rsid w:val="00911C5C"/>
    <w:rsid w:val="009121C2"/>
    <w:rsid w:val="00914911"/>
    <w:rsid w:val="00917297"/>
    <w:rsid w:val="00930C1D"/>
    <w:rsid w:val="00930CF8"/>
    <w:rsid w:val="0093334F"/>
    <w:rsid w:val="0093400F"/>
    <w:rsid w:val="009365C9"/>
    <w:rsid w:val="009366A8"/>
    <w:rsid w:val="009366C3"/>
    <w:rsid w:val="00943E59"/>
    <w:rsid w:val="0094423A"/>
    <w:rsid w:val="00944308"/>
    <w:rsid w:val="0094641D"/>
    <w:rsid w:val="009528EC"/>
    <w:rsid w:val="0095630E"/>
    <w:rsid w:val="0095765A"/>
    <w:rsid w:val="009605D8"/>
    <w:rsid w:val="0096751E"/>
    <w:rsid w:val="00970AC8"/>
    <w:rsid w:val="00974B9C"/>
    <w:rsid w:val="009772FF"/>
    <w:rsid w:val="00981069"/>
    <w:rsid w:val="00982101"/>
    <w:rsid w:val="009833F2"/>
    <w:rsid w:val="0098697C"/>
    <w:rsid w:val="009874D5"/>
    <w:rsid w:val="0099165C"/>
    <w:rsid w:val="009A1CFE"/>
    <w:rsid w:val="009A5272"/>
    <w:rsid w:val="009B0039"/>
    <w:rsid w:val="009B08C9"/>
    <w:rsid w:val="009B2231"/>
    <w:rsid w:val="009B5E5C"/>
    <w:rsid w:val="009B6C15"/>
    <w:rsid w:val="009C433B"/>
    <w:rsid w:val="009C495D"/>
    <w:rsid w:val="009C6D4C"/>
    <w:rsid w:val="009D09B3"/>
    <w:rsid w:val="009D0FBF"/>
    <w:rsid w:val="009D2719"/>
    <w:rsid w:val="009E1D5A"/>
    <w:rsid w:val="009E4361"/>
    <w:rsid w:val="009E468F"/>
    <w:rsid w:val="009E4C30"/>
    <w:rsid w:val="009E5495"/>
    <w:rsid w:val="009E560F"/>
    <w:rsid w:val="009F1CEB"/>
    <w:rsid w:val="009F72E1"/>
    <w:rsid w:val="009F77D4"/>
    <w:rsid w:val="00A015FA"/>
    <w:rsid w:val="00A01A6A"/>
    <w:rsid w:val="00A040F6"/>
    <w:rsid w:val="00A05E06"/>
    <w:rsid w:val="00A10C5C"/>
    <w:rsid w:val="00A12EA6"/>
    <w:rsid w:val="00A13A67"/>
    <w:rsid w:val="00A172A8"/>
    <w:rsid w:val="00A1737B"/>
    <w:rsid w:val="00A2159A"/>
    <w:rsid w:val="00A21964"/>
    <w:rsid w:val="00A2261F"/>
    <w:rsid w:val="00A23F16"/>
    <w:rsid w:val="00A24353"/>
    <w:rsid w:val="00A249C9"/>
    <w:rsid w:val="00A25136"/>
    <w:rsid w:val="00A30796"/>
    <w:rsid w:val="00A32785"/>
    <w:rsid w:val="00A32A1F"/>
    <w:rsid w:val="00A34777"/>
    <w:rsid w:val="00A34842"/>
    <w:rsid w:val="00A35E78"/>
    <w:rsid w:val="00A35FB0"/>
    <w:rsid w:val="00A36A6B"/>
    <w:rsid w:val="00A36AB6"/>
    <w:rsid w:val="00A412FA"/>
    <w:rsid w:val="00A46EC1"/>
    <w:rsid w:val="00A50C39"/>
    <w:rsid w:val="00A54F92"/>
    <w:rsid w:val="00A557A0"/>
    <w:rsid w:val="00A55EE1"/>
    <w:rsid w:val="00A57ECE"/>
    <w:rsid w:val="00A60527"/>
    <w:rsid w:val="00A72116"/>
    <w:rsid w:val="00A828CA"/>
    <w:rsid w:val="00A84F72"/>
    <w:rsid w:val="00A859D9"/>
    <w:rsid w:val="00A86289"/>
    <w:rsid w:val="00A90F50"/>
    <w:rsid w:val="00A91DC7"/>
    <w:rsid w:val="00A94327"/>
    <w:rsid w:val="00A94330"/>
    <w:rsid w:val="00A96451"/>
    <w:rsid w:val="00AA0736"/>
    <w:rsid w:val="00AA329C"/>
    <w:rsid w:val="00AA513F"/>
    <w:rsid w:val="00AA67C6"/>
    <w:rsid w:val="00AB02CB"/>
    <w:rsid w:val="00AB0F7D"/>
    <w:rsid w:val="00AB18E1"/>
    <w:rsid w:val="00AB3F2E"/>
    <w:rsid w:val="00AB4CC8"/>
    <w:rsid w:val="00AB768B"/>
    <w:rsid w:val="00AC08B1"/>
    <w:rsid w:val="00AC3CE7"/>
    <w:rsid w:val="00AC5676"/>
    <w:rsid w:val="00AD4114"/>
    <w:rsid w:val="00AD48BD"/>
    <w:rsid w:val="00AD4CF0"/>
    <w:rsid w:val="00AD5435"/>
    <w:rsid w:val="00AD6E41"/>
    <w:rsid w:val="00AE1ED3"/>
    <w:rsid w:val="00AE1EE4"/>
    <w:rsid w:val="00AE7831"/>
    <w:rsid w:val="00AF1CA7"/>
    <w:rsid w:val="00AF281D"/>
    <w:rsid w:val="00AF484A"/>
    <w:rsid w:val="00AF78D7"/>
    <w:rsid w:val="00AF7958"/>
    <w:rsid w:val="00B01664"/>
    <w:rsid w:val="00B02958"/>
    <w:rsid w:val="00B05E41"/>
    <w:rsid w:val="00B072AB"/>
    <w:rsid w:val="00B11A1C"/>
    <w:rsid w:val="00B13892"/>
    <w:rsid w:val="00B20B3C"/>
    <w:rsid w:val="00B21D53"/>
    <w:rsid w:val="00B26801"/>
    <w:rsid w:val="00B341D0"/>
    <w:rsid w:val="00B36C88"/>
    <w:rsid w:val="00B415EA"/>
    <w:rsid w:val="00B45742"/>
    <w:rsid w:val="00B46AB9"/>
    <w:rsid w:val="00B532B8"/>
    <w:rsid w:val="00B53497"/>
    <w:rsid w:val="00B609BD"/>
    <w:rsid w:val="00B64E1A"/>
    <w:rsid w:val="00B6689A"/>
    <w:rsid w:val="00B66B08"/>
    <w:rsid w:val="00B701DC"/>
    <w:rsid w:val="00B7424E"/>
    <w:rsid w:val="00B7566B"/>
    <w:rsid w:val="00B75FE8"/>
    <w:rsid w:val="00B83C17"/>
    <w:rsid w:val="00B84117"/>
    <w:rsid w:val="00B841B9"/>
    <w:rsid w:val="00B91632"/>
    <w:rsid w:val="00B95308"/>
    <w:rsid w:val="00BA33B4"/>
    <w:rsid w:val="00BA3A72"/>
    <w:rsid w:val="00BA4666"/>
    <w:rsid w:val="00BA5D9D"/>
    <w:rsid w:val="00BA6AAC"/>
    <w:rsid w:val="00BA7573"/>
    <w:rsid w:val="00BB1813"/>
    <w:rsid w:val="00BB20D3"/>
    <w:rsid w:val="00BB398A"/>
    <w:rsid w:val="00BB4C90"/>
    <w:rsid w:val="00BB6A9D"/>
    <w:rsid w:val="00BC0071"/>
    <w:rsid w:val="00BC12E1"/>
    <w:rsid w:val="00BC1873"/>
    <w:rsid w:val="00BC2F56"/>
    <w:rsid w:val="00BC4744"/>
    <w:rsid w:val="00BC4A80"/>
    <w:rsid w:val="00BC5B6F"/>
    <w:rsid w:val="00BC6A51"/>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1A7"/>
    <w:rsid w:val="00C21AE6"/>
    <w:rsid w:val="00C24782"/>
    <w:rsid w:val="00C25072"/>
    <w:rsid w:val="00C30DD0"/>
    <w:rsid w:val="00C36AB4"/>
    <w:rsid w:val="00C40DDD"/>
    <w:rsid w:val="00C418E5"/>
    <w:rsid w:val="00C47C7B"/>
    <w:rsid w:val="00C508A6"/>
    <w:rsid w:val="00C51794"/>
    <w:rsid w:val="00C51F82"/>
    <w:rsid w:val="00C52170"/>
    <w:rsid w:val="00C57A26"/>
    <w:rsid w:val="00C652D4"/>
    <w:rsid w:val="00C66455"/>
    <w:rsid w:val="00C7023F"/>
    <w:rsid w:val="00C75371"/>
    <w:rsid w:val="00C75432"/>
    <w:rsid w:val="00C80B0D"/>
    <w:rsid w:val="00C83AE1"/>
    <w:rsid w:val="00C86A16"/>
    <w:rsid w:val="00C87E4E"/>
    <w:rsid w:val="00C93604"/>
    <w:rsid w:val="00C9472C"/>
    <w:rsid w:val="00C97B15"/>
    <w:rsid w:val="00CA0093"/>
    <w:rsid w:val="00CA1D95"/>
    <w:rsid w:val="00CA272E"/>
    <w:rsid w:val="00CA5BE9"/>
    <w:rsid w:val="00CA66DB"/>
    <w:rsid w:val="00CB1DE4"/>
    <w:rsid w:val="00CB2750"/>
    <w:rsid w:val="00CC42CD"/>
    <w:rsid w:val="00CD25AE"/>
    <w:rsid w:val="00CD5936"/>
    <w:rsid w:val="00CD717B"/>
    <w:rsid w:val="00CE211F"/>
    <w:rsid w:val="00CE4485"/>
    <w:rsid w:val="00CE6BB7"/>
    <w:rsid w:val="00CE7FBC"/>
    <w:rsid w:val="00CF27F6"/>
    <w:rsid w:val="00D0135C"/>
    <w:rsid w:val="00D027D0"/>
    <w:rsid w:val="00D0426C"/>
    <w:rsid w:val="00D06353"/>
    <w:rsid w:val="00D065AE"/>
    <w:rsid w:val="00D12824"/>
    <w:rsid w:val="00D2037E"/>
    <w:rsid w:val="00D2073B"/>
    <w:rsid w:val="00D22509"/>
    <w:rsid w:val="00D23BED"/>
    <w:rsid w:val="00D2502C"/>
    <w:rsid w:val="00D26028"/>
    <w:rsid w:val="00D26416"/>
    <w:rsid w:val="00D26ECE"/>
    <w:rsid w:val="00D3026E"/>
    <w:rsid w:val="00D34A61"/>
    <w:rsid w:val="00D358C3"/>
    <w:rsid w:val="00D41BB0"/>
    <w:rsid w:val="00D42A4E"/>
    <w:rsid w:val="00D42EA9"/>
    <w:rsid w:val="00D43805"/>
    <w:rsid w:val="00D45E53"/>
    <w:rsid w:val="00D467D9"/>
    <w:rsid w:val="00D46A26"/>
    <w:rsid w:val="00D53670"/>
    <w:rsid w:val="00D5777F"/>
    <w:rsid w:val="00D57ABC"/>
    <w:rsid w:val="00D613BE"/>
    <w:rsid w:val="00D62E92"/>
    <w:rsid w:val="00D70FDC"/>
    <w:rsid w:val="00D713F7"/>
    <w:rsid w:val="00D73F16"/>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AEC"/>
    <w:rsid w:val="00DB5C04"/>
    <w:rsid w:val="00DC1587"/>
    <w:rsid w:val="00DC16AB"/>
    <w:rsid w:val="00DC3014"/>
    <w:rsid w:val="00DC4715"/>
    <w:rsid w:val="00DC6D1D"/>
    <w:rsid w:val="00DC7DDE"/>
    <w:rsid w:val="00DD64D1"/>
    <w:rsid w:val="00DE182A"/>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193"/>
    <w:rsid w:val="00E14FA0"/>
    <w:rsid w:val="00E17889"/>
    <w:rsid w:val="00E2016F"/>
    <w:rsid w:val="00E20AC0"/>
    <w:rsid w:val="00E24D40"/>
    <w:rsid w:val="00E320BB"/>
    <w:rsid w:val="00E33D57"/>
    <w:rsid w:val="00E346C8"/>
    <w:rsid w:val="00E35ACD"/>
    <w:rsid w:val="00E36590"/>
    <w:rsid w:val="00E37047"/>
    <w:rsid w:val="00E41966"/>
    <w:rsid w:val="00E438FF"/>
    <w:rsid w:val="00E43D58"/>
    <w:rsid w:val="00E50A0B"/>
    <w:rsid w:val="00E51A05"/>
    <w:rsid w:val="00E53D1C"/>
    <w:rsid w:val="00E55A2D"/>
    <w:rsid w:val="00E56279"/>
    <w:rsid w:val="00E56AB2"/>
    <w:rsid w:val="00E601D6"/>
    <w:rsid w:val="00E604B0"/>
    <w:rsid w:val="00E609D5"/>
    <w:rsid w:val="00E71BB3"/>
    <w:rsid w:val="00E7245A"/>
    <w:rsid w:val="00E7356B"/>
    <w:rsid w:val="00E76692"/>
    <w:rsid w:val="00E81A77"/>
    <w:rsid w:val="00E829CA"/>
    <w:rsid w:val="00E84A96"/>
    <w:rsid w:val="00E85B2D"/>
    <w:rsid w:val="00E93D54"/>
    <w:rsid w:val="00EA2B94"/>
    <w:rsid w:val="00EB0F6B"/>
    <w:rsid w:val="00EB340C"/>
    <w:rsid w:val="00EB5B9B"/>
    <w:rsid w:val="00EC21E9"/>
    <w:rsid w:val="00EC2BAE"/>
    <w:rsid w:val="00EC4084"/>
    <w:rsid w:val="00ED0E5C"/>
    <w:rsid w:val="00ED14F7"/>
    <w:rsid w:val="00ED1D6F"/>
    <w:rsid w:val="00ED5B55"/>
    <w:rsid w:val="00ED672C"/>
    <w:rsid w:val="00ED6903"/>
    <w:rsid w:val="00EE79C7"/>
    <w:rsid w:val="00EF0D63"/>
    <w:rsid w:val="00EF209E"/>
    <w:rsid w:val="00EF399A"/>
    <w:rsid w:val="00EF3F69"/>
    <w:rsid w:val="00EF58F8"/>
    <w:rsid w:val="00EF64BC"/>
    <w:rsid w:val="00F01D0E"/>
    <w:rsid w:val="00F03487"/>
    <w:rsid w:val="00F056C8"/>
    <w:rsid w:val="00F06077"/>
    <w:rsid w:val="00F07111"/>
    <w:rsid w:val="00F12067"/>
    <w:rsid w:val="00F13354"/>
    <w:rsid w:val="00F14DEB"/>
    <w:rsid w:val="00F22CD5"/>
    <w:rsid w:val="00F23391"/>
    <w:rsid w:val="00F25394"/>
    <w:rsid w:val="00F25576"/>
    <w:rsid w:val="00F26176"/>
    <w:rsid w:val="00F27556"/>
    <w:rsid w:val="00F30DDA"/>
    <w:rsid w:val="00F318A0"/>
    <w:rsid w:val="00F34A32"/>
    <w:rsid w:val="00F45A93"/>
    <w:rsid w:val="00F5257D"/>
    <w:rsid w:val="00F543AA"/>
    <w:rsid w:val="00F553F0"/>
    <w:rsid w:val="00F56735"/>
    <w:rsid w:val="00F56A75"/>
    <w:rsid w:val="00F6009E"/>
    <w:rsid w:val="00F61F0D"/>
    <w:rsid w:val="00F62D75"/>
    <w:rsid w:val="00F638C1"/>
    <w:rsid w:val="00F64BD9"/>
    <w:rsid w:val="00F65426"/>
    <w:rsid w:val="00F65FD8"/>
    <w:rsid w:val="00F665AF"/>
    <w:rsid w:val="00F72972"/>
    <w:rsid w:val="00F729DF"/>
    <w:rsid w:val="00F73DC2"/>
    <w:rsid w:val="00F80EBE"/>
    <w:rsid w:val="00F826F3"/>
    <w:rsid w:val="00F827A7"/>
    <w:rsid w:val="00F837A6"/>
    <w:rsid w:val="00F853A3"/>
    <w:rsid w:val="00F8745B"/>
    <w:rsid w:val="00F87F7E"/>
    <w:rsid w:val="00F96350"/>
    <w:rsid w:val="00F96608"/>
    <w:rsid w:val="00F9675E"/>
    <w:rsid w:val="00FA007E"/>
    <w:rsid w:val="00FA13CF"/>
    <w:rsid w:val="00FA1877"/>
    <w:rsid w:val="00FA458A"/>
    <w:rsid w:val="00FA55A8"/>
    <w:rsid w:val="00FA5FBC"/>
    <w:rsid w:val="00FA78A6"/>
    <w:rsid w:val="00FB1B43"/>
    <w:rsid w:val="00FB3C6E"/>
    <w:rsid w:val="00FB5B16"/>
    <w:rsid w:val="00FB671A"/>
    <w:rsid w:val="00FB6F69"/>
    <w:rsid w:val="00FC36DB"/>
    <w:rsid w:val="00FC485C"/>
    <w:rsid w:val="00FC5067"/>
    <w:rsid w:val="00FC6264"/>
    <w:rsid w:val="00FC6BCD"/>
    <w:rsid w:val="00FD0432"/>
    <w:rsid w:val="00FD0E47"/>
    <w:rsid w:val="00FD1CA4"/>
    <w:rsid w:val="00FD2DF6"/>
    <w:rsid w:val="00FD4106"/>
    <w:rsid w:val="00FE217E"/>
    <w:rsid w:val="00FE2457"/>
    <w:rsid w:val="00FF0886"/>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3E5503B"/>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5A25F6"/>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9455C6"/>
    <w:rsid w:val="14CFEAF3"/>
    <w:rsid w:val="1530A9DC"/>
    <w:rsid w:val="15BFE8C7"/>
    <w:rsid w:val="15F13C9F"/>
    <w:rsid w:val="15F36ED7"/>
    <w:rsid w:val="1628698F"/>
    <w:rsid w:val="1637E367"/>
    <w:rsid w:val="16EE0173"/>
    <w:rsid w:val="174F47ED"/>
    <w:rsid w:val="176D27B6"/>
    <w:rsid w:val="17D776FB"/>
    <w:rsid w:val="1812BDF7"/>
    <w:rsid w:val="189F4623"/>
    <w:rsid w:val="18EA2EAF"/>
    <w:rsid w:val="193422AD"/>
    <w:rsid w:val="197F151F"/>
    <w:rsid w:val="198C9AE4"/>
    <w:rsid w:val="19AFE486"/>
    <w:rsid w:val="19B3164C"/>
    <w:rsid w:val="1A337354"/>
    <w:rsid w:val="1A4FC86D"/>
    <w:rsid w:val="1AA89237"/>
    <w:rsid w:val="1B487F15"/>
    <w:rsid w:val="1B9DCEF8"/>
    <w:rsid w:val="1BAE5C27"/>
    <w:rsid w:val="1BB776A2"/>
    <w:rsid w:val="1BE566C2"/>
    <w:rsid w:val="1C00A652"/>
    <w:rsid w:val="1C4DF02A"/>
    <w:rsid w:val="1C4EA865"/>
    <w:rsid w:val="1C903555"/>
    <w:rsid w:val="1CA1A1BD"/>
    <w:rsid w:val="1CC80DDC"/>
    <w:rsid w:val="1D034B5D"/>
    <w:rsid w:val="1D234829"/>
    <w:rsid w:val="1D3FA4B4"/>
    <w:rsid w:val="1D4F25C2"/>
    <w:rsid w:val="1D507CA3"/>
    <w:rsid w:val="1D743260"/>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B579EB"/>
    <w:rsid w:val="25CC2502"/>
    <w:rsid w:val="26165E4D"/>
    <w:rsid w:val="26502390"/>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630889"/>
    <w:rsid w:val="2A7577AA"/>
    <w:rsid w:val="2A7C19A5"/>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4F8431E"/>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067EE"/>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550413"/>
    <w:rsid w:val="48659B4B"/>
    <w:rsid w:val="486ACA0B"/>
    <w:rsid w:val="48823D02"/>
    <w:rsid w:val="48D0EB01"/>
    <w:rsid w:val="491F1A22"/>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4FF74B6E"/>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3C75190"/>
    <w:rsid w:val="5409B3C7"/>
    <w:rsid w:val="5441D9F1"/>
    <w:rsid w:val="54D72401"/>
    <w:rsid w:val="552C19E1"/>
    <w:rsid w:val="55300C8E"/>
    <w:rsid w:val="55891C9C"/>
    <w:rsid w:val="558B620A"/>
    <w:rsid w:val="55943A1A"/>
    <w:rsid w:val="55B69146"/>
    <w:rsid w:val="55C986F2"/>
    <w:rsid w:val="55D9857D"/>
    <w:rsid w:val="56177D00"/>
    <w:rsid w:val="561C2060"/>
    <w:rsid w:val="56784256"/>
    <w:rsid w:val="56BF4E49"/>
    <w:rsid w:val="57CF077F"/>
    <w:rsid w:val="57DA10A9"/>
    <w:rsid w:val="58C13791"/>
    <w:rsid w:val="58C9DF04"/>
    <w:rsid w:val="591AD592"/>
    <w:rsid w:val="5924BC01"/>
    <w:rsid w:val="5987A165"/>
    <w:rsid w:val="59D616F9"/>
    <w:rsid w:val="59DFD067"/>
    <w:rsid w:val="5A725F77"/>
    <w:rsid w:val="5A9658BC"/>
    <w:rsid w:val="5AD0167F"/>
    <w:rsid w:val="5ADD14E4"/>
    <w:rsid w:val="5B14F106"/>
    <w:rsid w:val="5B4F07ED"/>
    <w:rsid w:val="5BA266D5"/>
    <w:rsid w:val="5BA36840"/>
    <w:rsid w:val="5C4F885B"/>
    <w:rsid w:val="5C90F1DD"/>
    <w:rsid w:val="5CA86789"/>
    <w:rsid w:val="5CE92976"/>
    <w:rsid w:val="5D63417B"/>
    <w:rsid w:val="5D8E4E18"/>
    <w:rsid w:val="5D97AFCC"/>
    <w:rsid w:val="5DD79F42"/>
    <w:rsid w:val="5E1AA210"/>
    <w:rsid w:val="5E4965AE"/>
    <w:rsid w:val="5ED05A63"/>
    <w:rsid w:val="5EF66468"/>
    <w:rsid w:val="5F10F09C"/>
    <w:rsid w:val="5F22EE18"/>
    <w:rsid w:val="5F497CA9"/>
    <w:rsid w:val="5FB56E8E"/>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AD541DF"/>
    <w:rsid w:val="6B49A675"/>
    <w:rsid w:val="6BA77929"/>
    <w:rsid w:val="6BB75025"/>
    <w:rsid w:val="6BB848CA"/>
    <w:rsid w:val="6BF8E92E"/>
    <w:rsid w:val="6C260E18"/>
    <w:rsid w:val="6CD42832"/>
    <w:rsid w:val="6D31EF32"/>
    <w:rsid w:val="6D3BD39B"/>
    <w:rsid w:val="6D4ECDA7"/>
    <w:rsid w:val="6DB66BBB"/>
    <w:rsid w:val="6DB8DC69"/>
    <w:rsid w:val="6DBB590E"/>
    <w:rsid w:val="6DBFE5E2"/>
    <w:rsid w:val="6E4A0A40"/>
    <w:rsid w:val="6E883A01"/>
    <w:rsid w:val="6EE12FE3"/>
    <w:rsid w:val="6F0E7CBF"/>
    <w:rsid w:val="6F2E6FF4"/>
    <w:rsid w:val="7002F905"/>
    <w:rsid w:val="70069C42"/>
    <w:rsid w:val="706F1323"/>
    <w:rsid w:val="7089E194"/>
    <w:rsid w:val="70E441B0"/>
    <w:rsid w:val="71159BCB"/>
    <w:rsid w:val="716C1D64"/>
    <w:rsid w:val="716DE8F0"/>
    <w:rsid w:val="71763A1A"/>
    <w:rsid w:val="71F59984"/>
    <w:rsid w:val="7214A937"/>
    <w:rsid w:val="722706BB"/>
    <w:rsid w:val="722CCA10"/>
    <w:rsid w:val="723661E2"/>
    <w:rsid w:val="72577269"/>
    <w:rsid w:val="725AC5DC"/>
    <w:rsid w:val="72FC57A8"/>
    <w:rsid w:val="72FC71B0"/>
    <w:rsid w:val="7314B57C"/>
    <w:rsid w:val="731C538B"/>
    <w:rsid w:val="7331A717"/>
    <w:rsid w:val="736669E6"/>
    <w:rsid w:val="738FB9D1"/>
    <w:rsid w:val="73EA0A96"/>
    <w:rsid w:val="73FB8E9E"/>
    <w:rsid w:val="7426387E"/>
    <w:rsid w:val="745987C9"/>
    <w:rsid w:val="746360FF"/>
    <w:rsid w:val="74982505"/>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4C37BA"/>
    <w:rsid w:val="7CD4B096"/>
    <w:rsid w:val="7D8705EA"/>
    <w:rsid w:val="7E302BAB"/>
    <w:rsid w:val="7E7EC4E6"/>
    <w:rsid w:val="7EC4C3B7"/>
    <w:rsid w:val="7ECEF2B5"/>
    <w:rsid w:val="7F143056"/>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1"/>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rPr>
      <w:rFonts w:ascii="Times New Roman" w:hAnsi="Times New Roman"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x_msonormal"/>
    <w:basedOn w:val="1"/>
    <w:qFormat/>
    <w:uiPriority w:val="0"/>
    <w:pPr>
      <w:spacing w:before="100" w:beforeAutospacing="1" w:after="100" w:afterAutospacing="1" w:line="240" w:lineRule="auto"/>
    </w:pPr>
    <w:rPr>
      <w:rFonts w:ascii="Calibri" w:hAnsi="Calibri" w:cs="Calibri" w:eastAsiaTheme="minorHAnsi"/>
      <w:lang w:val="en-GB" w:eastAsia="en-GB"/>
    </w:rPr>
  </w:style>
  <w:style w:type="character" w:customStyle="1" w:styleId="186">
    <w:name w:val="列出段落 字符"/>
    <w:basedOn w:val="71"/>
    <w:link w:val="187"/>
    <w:qFormat/>
    <w:uiPriority w:val="0"/>
    <w:rPr>
      <w:rFonts w:hint="default" w:ascii="Times New Roman" w:hAnsi="Times New Roman" w:cs="Times New Roman"/>
      <w:sz w:val="22"/>
    </w:rPr>
  </w:style>
  <w:style w:type="paragraph" w:customStyle="1" w:styleId="187">
    <w:name w:val="列出段落1"/>
    <w:basedOn w:val="1"/>
    <w:link w:val="186"/>
    <w:qFormat/>
    <w:uiPriority w:val="0"/>
    <w:pPr>
      <w:widowControl w:val="0"/>
      <w:adjustRightInd w:val="0"/>
      <w:snapToGrid w:val="0"/>
      <w:spacing w:before="30" w:beforeLines="30" w:after="0" w:line="60" w:lineRule="atLeast"/>
      <w:ind w:firstLine="420" w:firstLineChars="200"/>
      <w:jc w:val="both"/>
    </w:pPr>
    <w:rPr>
      <w:rFonts w:ascii="Times New Roman" w:hAnsi="Times New Roman" w:eastAsia="宋体" w:cs="Times New Roman"/>
      <w:kern w:val="2"/>
      <w:lang w:eastAsia="zh-CN"/>
    </w:rPr>
  </w:style>
  <w:style w:type="paragraph" w:customStyle="1" w:styleId="188">
    <w:name w:val="列出段落2"/>
    <w:basedOn w:val="1"/>
    <w:qFormat/>
    <w:uiPriority w:val="0"/>
    <w:pPr>
      <w:spacing w:before="100" w:beforeAutospacing="1" w:after="100" w:afterAutospacing="1" w:line="240" w:lineRule="auto"/>
      <w:ind w:left="720" w:hanging="360"/>
    </w:pPr>
    <w:rPr>
      <w:rFonts w:ascii="Times New Roman" w:hAnsi="Times New Roman" w:eastAsia="Calibri" w:cs="Times New Roman"/>
      <w:sz w:val="24"/>
      <w:szCs w:val="24"/>
      <w:lang w:eastAsia="zh-CN"/>
    </w:rPr>
  </w:style>
  <w:style w:type="character" w:customStyle="1" w:styleId="189">
    <w:name w:val="15"/>
    <w:basedOn w:val="71"/>
    <w:qFormat/>
    <w:uiPriority w:val="0"/>
    <w:rPr>
      <w:rFonts w:hint="default" w:ascii="Times New Roman" w:hAnsi="Times New Roman" w:cs="Times New Roman"/>
      <w:color w:val="0563C1"/>
      <w:u w:val="single"/>
    </w:rPr>
  </w:style>
  <w:style w:type="paragraph" w:customStyle="1" w:styleId="19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91">
    <w:name w:val="正文2"/>
    <w:basedOn w:val="1"/>
    <w:qFormat/>
    <w:uiPriority w:val="0"/>
    <w:pPr>
      <w:spacing w:after="0" w:line="240" w:lineRule="auto"/>
      <w:jc w:val="both"/>
    </w:pPr>
    <w:rPr>
      <w:rFonts w:ascii="Times New Roman" w:hAnsi="Times New Roman" w:eastAsia="宋体" w:cs="Times New Roman"/>
      <w:kern w:val="2"/>
      <w:sz w:val="21"/>
      <w:szCs w:val="21"/>
      <w:lang w:eastAsia="zh-CN"/>
    </w:rPr>
  </w:style>
  <w:style w:type="character" w:customStyle="1" w:styleId="192">
    <w:name w:val="contentpasted2"/>
    <w:basedOn w:val="71"/>
    <w:qFormat/>
    <w:uiPriority w:val="0"/>
  </w:style>
  <w:style w:type="paragraph" w:customStyle="1" w:styleId="193">
    <w:name w:val="Editor's Note"/>
    <w:basedOn w:val="1"/>
    <w:link w:val="194"/>
    <w:qFormat/>
    <w:uiPriority w:val="0"/>
    <w:pPr>
      <w:keepLines/>
      <w:ind w:left="1135" w:hanging="851"/>
    </w:pPr>
    <w:rPr>
      <w:rFonts w:ascii="Arial" w:hAnsi="Arial" w:eastAsiaTheme="minorHAnsi"/>
      <w:color w:val="FF0000"/>
      <w:sz w:val="20"/>
      <w:lang w:val="zh-CN" w:eastAsia="zh-CN"/>
    </w:rPr>
  </w:style>
  <w:style w:type="character" w:customStyle="1" w:styleId="194">
    <w:name w:val="Editor's Note Char"/>
    <w:link w:val="193"/>
    <w:qFormat/>
    <w:uiPriority w:val="0"/>
    <w:rPr>
      <w:rFonts w:ascii="Arial" w:hAnsi="Arial" w:eastAsiaTheme="minorHAnsi" w:cstheme="minorBidi"/>
      <w:color w:val="FF0000"/>
      <w:szCs w:val="22"/>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7A2B3C-29AE-46E9-AE65-031D48585B8F}">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customXml/itemProps4.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4587</Words>
  <Characters>22561</Characters>
  <Lines>197</Lines>
  <Paragraphs>55</Paragraphs>
  <TotalTime>2597</TotalTime>
  <ScaleCrop>false</ScaleCrop>
  <LinksUpToDate>false</LinksUpToDate>
  <CharactersWithSpaces>27430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yiwei1.deng</cp:lastModifiedBy>
  <dcterms:modified xsi:type="dcterms:W3CDTF">2023-05-15T03:07:18Z</dcterms:modified>
  <cp:revision>935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6AD315B09DBC44648B73B9EB20EA76F0</vt:lpwstr>
  </property>
</Properties>
</file>